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6155" w14:textId="47BA2533" w:rsidR="000D64AD" w:rsidRPr="0044180C" w:rsidRDefault="000D64AD" w:rsidP="00111D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180C">
        <w:rPr>
          <w:rFonts w:ascii="Times New Roman" w:hAnsi="Times New Roman" w:cs="Times New Roman"/>
          <w:b/>
          <w:bCs/>
          <w:sz w:val="24"/>
          <w:szCs w:val="24"/>
        </w:rPr>
        <w:t>Véleményező csapat: P</w:t>
      </w:r>
      <w:r w:rsidR="003B63F4" w:rsidRPr="0044180C">
        <w:rPr>
          <w:rFonts w:ascii="Times New Roman" w:hAnsi="Times New Roman" w:cs="Times New Roman"/>
          <w:b/>
          <w:bCs/>
          <w:sz w:val="24"/>
          <w:szCs w:val="24"/>
        </w:rPr>
        <w:t>TE ÁJK (Döndő Csilla, Lutring Erika, Molnár Kitti Erika, Zsoldos Márk)</w:t>
      </w:r>
    </w:p>
    <w:p w14:paraId="1C85929A" w14:textId="77777777" w:rsidR="003B63F4" w:rsidRDefault="003B63F4" w:rsidP="00111D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63FAFB" w14:textId="040D90E5" w:rsidR="007A32EF" w:rsidRDefault="007A32EF" w:rsidP="00111D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ALKOTMÁNYBÍRÓSÁG</w:t>
      </w:r>
    </w:p>
    <w:p w14:paraId="5E4333A4" w14:textId="53210906" w:rsidR="007A32EF" w:rsidRPr="00261FC8" w:rsidRDefault="007A32EF" w:rsidP="00111D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FC8">
        <w:rPr>
          <w:rFonts w:ascii="Times New Roman" w:hAnsi="Times New Roman" w:cs="Times New Roman"/>
          <w:b/>
          <w:bCs/>
          <w:sz w:val="24"/>
          <w:szCs w:val="24"/>
        </w:rPr>
        <w:t>Lutring Erika feljegyzése a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61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261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számú </w:t>
      </w:r>
      <w:r w:rsidRPr="00261FC8">
        <w:rPr>
          <w:rFonts w:ascii="Times New Roman" w:hAnsi="Times New Roman" w:cs="Times New Roman"/>
          <w:b/>
          <w:bCs/>
          <w:sz w:val="24"/>
          <w:szCs w:val="24"/>
        </w:rPr>
        <w:t xml:space="preserve">ügyben készült tervezethez (előadó alkotmánybíró: </w:t>
      </w:r>
      <w:r>
        <w:rPr>
          <w:rFonts w:ascii="Times New Roman" w:hAnsi="Times New Roman" w:cs="Times New Roman"/>
          <w:b/>
          <w:bCs/>
          <w:sz w:val="24"/>
          <w:szCs w:val="24"/>
        </w:rPr>
        <w:t>[név]</w:t>
      </w:r>
      <w:r w:rsidRPr="00261FC8">
        <w:rPr>
          <w:rFonts w:ascii="Times New Roman" w:hAnsi="Times New Roman" w:cs="Times New Roman"/>
          <w:b/>
          <w:bCs/>
          <w:sz w:val="24"/>
          <w:szCs w:val="24"/>
        </w:rPr>
        <w:t xml:space="preserve"> - NKE)</w:t>
      </w:r>
    </w:p>
    <w:p w14:paraId="77060149" w14:textId="77777777" w:rsidR="00955744" w:rsidRPr="004F5236" w:rsidRDefault="00955744" w:rsidP="00111D4B">
      <w:pPr>
        <w:jc w:val="both"/>
        <w:rPr>
          <w:rFonts w:ascii="Times New Roman" w:hAnsi="Times New Roman" w:cs="Times New Roman"/>
          <w:sz w:val="24"/>
          <w:szCs w:val="24"/>
        </w:rPr>
      </w:pPr>
      <w:r w:rsidRPr="004F5236">
        <w:rPr>
          <w:rFonts w:ascii="Times New Roman" w:hAnsi="Times New Roman" w:cs="Times New Roman"/>
          <w:sz w:val="24"/>
          <w:szCs w:val="24"/>
        </w:rPr>
        <w:t>A tervezet teljes szövegének formai és tartalmi elemeivel kapcsolatban az alábbiakra szeretném felhívni az Előadó Bíró és a Teljes Ülés figyelmét.</w:t>
      </w:r>
    </w:p>
    <w:p w14:paraId="3C6C37B2" w14:textId="74DA5A3C" w:rsidR="00955744" w:rsidRPr="00895B57" w:rsidRDefault="00955744" w:rsidP="00895B57">
      <w:pPr>
        <w:pStyle w:val="Listaszerbekezds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B57">
        <w:rPr>
          <w:rFonts w:ascii="Times New Roman" w:hAnsi="Times New Roman" w:cs="Times New Roman"/>
          <w:sz w:val="24"/>
          <w:szCs w:val="24"/>
        </w:rPr>
        <w:t>A tervezetből nem derül ki az ügy előadó alkotmánybírójának személye.</w:t>
      </w:r>
    </w:p>
    <w:p w14:paraId="6692E70A" w14:textId="77777777" w:rsidR="00362954" w:rsidRPr="00895B57" w:rsidRDefault="00955744" w:rsidP="00895B57">
      <w:pPr>
        <w:pStyle w:val="Listaszerbekezds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B57">
        <w:rPr>
          <w:rFonts w:ascii="Times New Roman" w:hAnsi="Times New Roman" w:cs="Times New Roman"/>
          <w:sz w:val="24"/>
          <w:szCs w:val="24"/>
        </w:rPr>
        <w:t>A tervezet bevezető részében a balra igazított, félkövér „ALKOTMÁNYBÍRÓSÁG” megjelölés és az ügyszám nem a helyes formátumban szerepel, ugyanis azoknak külön, egymás alatti sorokban kellene szerepelniük. Először az „ALKOTMÁNYBÍRÓSÁG” kifejezést kell megadni, majd alatta az ügyszámot, amely pontosabban is leírható, mint a tervezetben szereplő „X” jelölés. Mivel az Abtv. 27.§ szerinti eljárásról van szó, jelen ügy a „IV” -es ügyszámú ügyek csoportjába tartozik, a 2021-es dátumra pedig következtetni lehet az iratok Alkotmánybíróságra érkezésének időpontjáról. Az ügyszámnak tehát a következőképpen kellene megjelenni a határozattervezetben: IV/…-…/2021., mivel a számozás jelenlegi, valós állását nem ismerhetjük jelenleg.</w:t>
      </w:r>
    </w:p>
    <w:p w14:paraId="457DEA25" w14:textId="77777777" w:rsidR="00FF0165" w:rsidRPr="00895B57" w:rsidRDefault="00362954" w:rsidP="00895B57">
      <w:pPr>
        <w:pStyle w:val="Listaszerbekezds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B57">
        <w:rPr>
          <w:rFonts w:ascii="Times New Roman" w:hAnsi="Times New Roman" w:cs="Times New Roman"/>
          <w:sz w:val="24"/>
          <w:szCs w:val="24"/>
        </w:rPr>
        <w:t>A tervezet bevezető részének tartalmaznia kell az alkotmánybírósági eljárás formáját, vagyis, hogy a teljes ülés vagy tanács jár-e el. Adott esetben a teljes ülés jár el.</w:t>
      </w:r>
    </w:p>
    <w:p w14:paraId="7A93AD90" w14:textId="306C4ACA" w:rsidR="00EC5BD6" w:rsidRPr="00895B57" w:rsidRDefault="00EC5BD6" w:rsidP="00895B57">
      <w:pPr>
        <w:pStyle w:val="Listaszerbekezds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B57">
        <w:rPr>
          <w:rFonts w:ascii="Times New Roman" w:hAnsi="Times New Roman" w:cs="Times New Roman"/>
          <w:sz w:val="24"/>
          <w:szCs w:val="24"/>
        </w:rPr>
        <w:t>A határozattervezet bevezető részében az alaptörvény-ellenesség megállapításának tényét kellett volna először írni, és azt követően az ítélet megsemmisítését.</w:t>
      </w:r>
    </w:p>
    <w:p w14:paraId="316B6C25" w14:textId="2F2564D7" w:rsidR="00955744" w:rsidRDefault="00955744" w:rsidP="00895B57">
      <w:pPr>
        <w:pStyle w:val="Default"/>
        <w:numPr>
          <w:ilvl w:val="0"/>
          <w:numId w:val="7"/>
        </w:numPr>
        <w:spacing w:after="160" w:line="259" w:lineRule="auto"/>
        <w:ind w:left="357" w:hanging="357"/>
        <w:jc w:val="both"/>
      </w:pPr>
      <w:r w:rsidRPr="004F5236">
        <w:t xml:space="preserve">A tervezet rendelkező részében elegendő </w:t>
      </w:r>
      <w:r>
        <w:t xml:space="preserve">kizárólag </w:t>
      </w:r>
      <w:r w:rsidRPr="004F5236">
        <w:t>a l</w:t>
      </w:r>
      <w:r>
        <w:t xml:space="preserve">egmagasabb </w:t>
      </w:r>
      <w:r w:rsidRPr="004F5236">
        <w:t>indítványban támadott bírói döntés megjelöl</w:t>
      </w:r>
      <w:r>
        <w:t>ni</w:t>
      </w:r>
      <w:r w:rsidRPr="004F5236">
        <w:t xml:space="preserve">, így jelen esetben a </w:t>
      </w:r>
      <w:r>
        <w:t>Dehátszentpéteri</w:t>
      </w:r>
      <w:r w:rsidRPr="004F5236">
        <w:t xml:space="preserve"> Ítélőtábláé</w:t>
      </w:r>
      <w:r>
        <w:t>t.</w:t>
      </w:r>
    </w:p>
    <w:p w14:paraId="5B597C87" w14:textId="489A5456" w:rsidR="00EC5BD6" w:rsidRDefault="00EC5BD6" w:rsidP="00895B57">
      <w:pPr>
        <w:pStyle w:val="Default"/>
        <w:numPr>
          <w:ilvl w:val="0"/>
          <w:numId w:val="7"/>
        </w:numPr>
        <w:spacing w:after="160" w:line="259" w:lineRule="auto"/>
        <w:ind w:left="357" w:hanging="357"/>
        <w:jc w:val="both"/>
      </w:pPr>
      <w:r>
        <w:t xml:space="preserve">A tervezet indokolásának </w:t>
      </w:r>
      <w:r w:rsidRPr="00312D65">
        <w:t>[</w:t>
      </w:r>
      <w:r>
        <w:t>1</w:t>
      </w:r>
      <w:r w:rsidRPr="00312D65">
        <w:t>]</w:t>
      </w:r>
      <w:r>
        <w:t xml:space="preserve"> bekezdésében helytelenül van megjelölve, hogy az indítványozó (Aggodalmaskodó Ágoston) a közösségi média szolgáltató eljárása ellen nyújtott be alkotmányjogi panaszt, hiszen a</w:t>
      </w:r>
      <w:r w:rsidR="00E56D84">
        <w:t xml:space="preserve"> megadott tényállás alapján az alkotmányjogi panasz a Nahátszentpéteri Törvényszék 2021. május 31-én kelt döntésével szemben került benyújtásra. Kiemelendő továbbá, hogy az Abtv. 27.§ (1) bekezdése is egyértelműen kimondja, hogy </w:t>
      </w:r>
      <w:r w:rsidR="009F562D">
        <w:t>alaptörvény-ellenes bírói döntés ellen nyújtható be alkotmányjogi panasz egyedi ügyben.</w:t>
      </w:r>
    </w:p>
    <w:p w14:paraId="0120967F" w14:textId="63A244FA" w:rsidR="00955744" w:rsidRDefault="00955744" w:rsidP="00895B57">
      <w:pPr>
        <w:pStyle w:val="Default"/>
        <w:numPr>
          <w:ilvl w:val="0"/>
          <w:numId w:val="7"/>
        </w:numPr>
        <w:spacing w:after="160" w:line="259" w:lineRule="auto"/>
        <w:ind w:left="357" w:hanging="357"/>
        <w:jc w:val="both"/>
      </w:pPr>
      <w:r>
        <w:t xml:space="preserve">Az tervezet indokolásának </w:t>
      </w:r>
      <w:r w:rsidRPr="00312D65">
        <w:t>[</w:t>
      </w:r>
      <w:r>
        <w:t>2</w:t>
      </w:r>
      <w:r w:rsidRPr="00312D65">
        <w:t>]</w:t>
      </w:r>
      <w:r>
        <w:t xml:space="preserve"> bekezdésében helyesírási hiba, elírás szerepel, ugyanis a „</w:t>
      </w:r>
      <w:r w:rsidRPr="004B5754">
        <w:t xml:space="preserve">Nézzük csak meg, mit tettek </w:t>
      </w:r>
      <w:proofErr w:type="spellStart"/>
      <w:r w:rsidRPr="004B5754">
        <w:t>Trumppal</w:t>
      </w:r>
      <w:proofErr w:type="spellEnd"/>
      <w:r w:rsidRPr="004B5754">
        <w:t>.”</w:t>
      </w:r>
      <w:r>
        <w:t xml:space="preserve"> mondat után az</w:t>
      </w:r>
      <w:r w:rsidRPr="004B5754">
        <w:t xml:space="preserve"> </w:t>
      </w:r>
      <w:r>
        <w:t>„</w:t>
      </w:r>
      <w:r w:rsidRPr="004B5754">
        <w:t>indítványozó</w:t>
      </w:r>
      <w:r>
        <w:t>” szó új mondat elején kis kezdőbetűvel szerepel.</w:t>
      </w:r>
    </w:p>
    <w:p w14:paraId="63C714D7" w14:textId="633D0D93" w:rsidR="009F562D" w:rsidRDefault="009F562D" w:rsidP="00895B57">
      <w:pPr>
        <w:pStyle w:val="Default"/>
        <w:numPr>
          <w:ilvl w:val="0"/>
          <w:numId w:val="7"/>
        </w:numPr>
        <w:spacing w:after="160" w:line="259" w:lineRule="auto"/>
        <w:ind w:left="357" w:hanging="357"/>
        <w:jc w:val="both"/>
      </w:pPr>
      <w:r>
        <w:t xml:space="preserve">A tervezet indokolásának </w:t>
      </w:r>
      <w:r w:rsidRPr="00312D65">
        <w:t>[</w:t>
      </w:r>
      <w:r>
        <w:t>4</w:t>
      </w:r>
      <w:r w:rsidRPr="00312D65">
        <w:t>]</w:t>
      </w:r>
      <w:r>
        <w:t xml:space="preserve"> bekezdés</w:t>
      </w:r>
      <w:r w:rsidR="00BD72A6">
        <w:t xml:space="preserve"> utolsó előtti sorában csak a Nahátszentpéteri Törvényszék került megemlítésre, a Dehátszentpéteri Ítélőtábla döntése nem, így az ügy tényállása pontatlanul szerepel az indokolásban.</w:t>
      </w:r>
    </w:p>
    <w:p w14:paraId="22F94D9D" w14:textId="382A6DE9" w:rsidR="00BD72A6" w:rsidRDefault="00BD72A6" w:rsidP="00895B57">
      <w:pPr>
        <w:pStyle w:val="Default"/>
        <w:numPr>
          <w:ilvl w:val="0"/>
          <w:numId w:val="7"/>
        </w:numPr>
        <w:spacing w:after="160" w:line="259" w:lineRule="auto"/>
        <w:ind w:left="357" w:hanging="357"/>
        <w:jc w:val="both"/>
      </w:pPr>
      <w:r>
        <w:t xml:space="preserve">A tervezet indokolásának </w:t>
      </w:r>
      <w:r w:rsidRPr="00312D65">
        <w:t>[</w:t>
      </w:r>
      <w:r>
        <w:t>11</w:t>
      </w:r>
      <w:r w:rsidRPr="00312D65">
        <w:t>]</w:t>
      </w:r>
      <w:r>
        <w:t xml:space="preserve"> bekezdése helytelenül idézi az Abtv. 27.§-át, ugyanis az 2019. XII. 20-tól a következőképpen hatályos: </w:t>
      </w:r>
      <w:r w:rsidR="006C27E0">
        <w:t xml:space="preserve">„27.§ </w:t>
      </w:r>
      <w:r>
        <w:t xml:space="preserve">(1) Az Alaptörvény 24. cikk (2) bekezdés d) pontja alapján alaptörvény-ellenes bírói döntéssel szemben az egyedi ügyben </w:t>
      </w:r>
      <w:r>
        <w:lastRenderedPageBreak/>
        <w:t>érintett személy vagy szervezet alkotmányjogi panasszal fordulhat az Alkotmánybírósághoz, ha az ügy érdemében hozott döntés vagy a bírósági eljárást befejező egyéb döntés</w:t>
      </w:r>
    </w:p>
    <w:p w14:paraId="4E4DFC55" w14:textId="46D30B02" w:rsidR="00BD72A6" w:rsidRDefault="00BD72A6" w:rsidP="00895B57">
      <w:pPr>
        <w:pStyle w:val="Default"/>
        <w:numPr>
          <w:ilvl w:val="0"/>
          <w:numId w:val="7"/>
        </w:numPr>
        <w:spacing w:after="160" w:line="259" w:lineRule="auto"/>
        <w:ind w:left="357" w:hanging="357"/>
        <w:jc w:val="both"/>
      </w:pPr>
      <w:r>
        <w:t>az indítványozó Alaptörvényben biztosított jogát sérti vagy hatáskörét az Alaptörvénybe ütközően korlátozza, és</w:t>
      </w:r>
    </w:p>
    <w:p w14:paraId="04AEEF59" w14:textId="59BBF081" w:rsidR="00BD72A6" w:rsidRDefault="00BD72A6" w:rsidP="00895B57">
      <w:pPr>
        <w:pStyle w:val="Default"/>
        <w:numPr>
          <w:ilvl w:val="0"/>
          <w:numId w:val="7"/>
        </w:numPr>
        <w:spacing w:after="160" w:line="259" w:lineRule="auto"/>
        <w:ind w:left="357" w:hanging="357"/>
        <w:jc w:val="both"/>
      </w:pPr>
      <w:r>
        <w:t>az indítványozó a jogorvoslati lehetőségeit már kimerítette, vagy jogorvoslati lehetőség nincs számára biztosítva.</w:t>
      </w:r>
      <w:r w:rsidR="006C27E0">
        <w:t>”</w:t>
      </w:r>
    </w:p>
    <w:p w14:paraId="09A4F6E9" w14:textId="141D4D52" w:rsidR="006C27E0" w:rsidRDefault="006C27E0" w:rsidP="00895B57">
      <w:pPr>
        <w:pStyle w:val="Default"/>
        <w:numPr>
          <w:ilvl w:val="0"/>
          <w:numId w:val="7"/>
        </w:numPr>
        <w:spacing w:after="160" w:line="259" w:lineRule="auto"/>
        <w:ind w:left="357" w:hanging="357"/>
        <w:jc w:val="both"/>
      </w:pPr>
      <w:r>
        <w:t>Az indokolásban az indítvány befogadhatóságának vizsgálatánál</w:t>
      </w:r>
      <w:r w:rsidR="00A32D2A">
        <w:t xml:space="preserve"> még</w:t>
      </w:r>
      <w:r>
        <w:t xml:space="preserve"> nem állapítja meg az Alkotmánybíróság az adott jog sérelmét, azonban a tervezet ezt megteszi az indokolás </w:t>
      </w:r>
      <w:r w:rsidRPr="00312D65">
        <w:t>[</w:t>
      </w:r>
      <w:r>
        <w:t>14</w:t>
      </w:r>
      <w:r w:rsidRPr="00312D65">
        <w:t>]</w:t>
      </w:r>
      <w:r>
        <w:t xml:space="preserve"> bekezdésében a véleménynyilvánításhoz fűződő jog és az egyenlő bánásmód vonatkozásában. </w:t>
      </w:r>
    </w:p>
    <w:p w14:paraId="5A3A2B73" w14:textId="5BDCFFC5" w:rsidR="00955744" w:rsidRDefault="00955744" w:rsidP="00895B57">
      <w:pPr>
        <w:pStyle w:val="Default"/>
        <w:numPr>
          <w:ilvl w:val="0"/>
          <w:numId w:val="7"/>
        </w:numPr>
        <w:spacing w:after="160" w:line="259" w:lineRule="auto"/>
        <w:ind w:left="357" w:hanging="357"/>
        <w:jc w:val="both"/>
      </w:pPr>
      <w:r>
        <w:t xml:space="preserve">A tervezet </w:t>
      </w:r>
      <w:r w:rsidRPr="00312D65">
        <w:t>indokolásának [19]</w:t>
      </w:r>
      <w:r>
        <w:t xml:space="preserve"> bekezdésében foglalt és a tervezetben többször is alkalmazott fogyasztó és vállalkozás terminológiák a közösségi média csatornára és az indítványozóra történő alkalmazásával nem értek egyet, ugyanis a fogyasztóvédelemről szóló 1997. évi CLV. törvény 2.§ a) pontja szerint a fogyasztó az </w:t>
      </w:r>
      <w:r w:rsidRPr="00312D65">
        <w:t>az önálló foglalkozásán és gazdasági tevékenységén kívül eső célok érdekében eljáró természetes személy, aki árut vesz, rendel, kap, használ, igénybe vesz vagy az áruval kapcsolatos kereskedelmi kommunikáció, ajánlat címzettje</w:t>
      </w:r>
      <w:r>
        <w:t xml:space="preserve">, a vállalkozás pedig a b) pont szerint, aki ezeket a </w:t>
      </w:r>
      <w:r w:rsidRPr="00312D65">
        <w:t>tevékenységet önálló foglalkozásával vagy gazdasági tevékenységével összefüggő célok érdekében végzi</w:t>
      </w:r>
      <w:r>
        <w:t xml:space="preserve">. Az </w:t>
      </w:r>
      <w:proofErr w:type="spellStart"/>
      <w:r>
        <w:t>Fgytv</w:t>
      </w:r>
      <w:proofErr w:type="spellEnd"/>
      <w:r>
        <w:t xml:space="preserve">. 2.§ l) pontja értelmében áru alatt a termék, az ingatlan a vagyoni jog, valamint a szolgáltatás értendő. Álláspontom szerint a közösségi média csatorna által nyújtott szolgáltatás nem feleltethető meg az </w:t>
      </w:r>
      <w:proofErr w:type="spellStart"/>
      <w:r>
        <w:t>Fgytv</w:t>
      </w:r>
      <w:proofErr w:type="spellEnd"/>
      <w:r>
        <w:t xml:space="preserve">. 2.§ a) pontjában használatos „áru” terminológiának, mivel a közösségi oldalak a posztolás és </w:t>
      </w:r>
      <w:proofErr w:type="spellStart"/>
      <w:r>
        <w:t>kommentelés</w:t>
      </w:r>
      <w:proofErr w:type="spellEnd"/>
      <w:r>
        <w:t xml:space="preserve"> lehetőségét – mint véleményközlésre alkalmas módokat – ingyenesen kínálják felhasználóiknak, tehát e felületek biztosítása nem a közösségi média csatorna önálló foglalkozásával vagy gazdasági tevékenységével összefüggő cél miatt történik.</w:t>
      </w:r>
    </w:p>
    <w:p w14:paraId="639C7617" w14:textId="484CFEE2" w:rsidR="00483D2C" w:rsidRPr="004F5236" w:rsidRDefault="00483D2C" w:rsidP="00895B57">
      <w:pPr>
        <w:pStyle w:val="Default"/>
        <w:numPr>
          <w:ilvl w:val="0"/>
          <w:numId w:val="7"/>
        </w:numPr>
        <w:spacing w:after="160" w:line="259" w:lineRule="auto"/>
        <w:ind w:left="357" w:hanging="357"/>
        <w:jc w:val="both"/>
      </w:pPr>
      <w:r>
        <w:t>A tervezet a IV. részben nem alaptörvényi alapokra hivatkozik, hanem törvényire.</w:t>
      </w:r>
    </w:p>
    <w:p w14:paraId="04A1C628" w14:textId="4CDB0788" w:rsidR="00955744" w:rsidRPr="00895B57" w:rsidRDefault="00955744" w:rsidP="00895B57">
      <w:pPr>
        <w:pStyle w:val="Listaszerbekezds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B57">
        <w:rPr>
          <w:rFonts w:ascii="Times New Roman" w:hAnsi="Times New Roman" w:cs="Times New Roman"/>
          <w:sz w:val="24"/>
          <w:szCs w:val="24"/>
        </w:rPr>
        <w:t>A tervezet záró részének végén nem szerepel az „előadó alkotmánybíró” kifejezés, illetve személyének megjelölése.</w:t>
      </w:r>
    </w:p>
    <w:p w14:paraId="4D3B9046" w14:textId="201EB88E" w:rsidR="00955744" w:rsidRPr="00895B57" w:rsidRDefault="00955744" w:rsidP="00895B57">
      <w:pPr>
        <w:pStyle w:val="Listaszerbekezds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B57">
        <w:rPr>
          <w:rFonts w:ascii="Times New Roman" w:hAnsi="Times New Roman" w:cs="Times New Roman"/>
          <w:sz w:val="24"/>
          <w:szCs w:val="24"/>
        </w:rPr>
        <w:t>A tervezet szokatlan szóhasználatot alkalmaz a [30] és [31] bekezdésekben („Az Alkotmánybíróság véleménye alapján…”, „a hosszú évszázadok alatt kivívott véleménynyilvánítás szabadságát kétes alapon csorbítja”).</w:t>
      </w:r>
    </w:p>
    <w:p w14:paraId="011A9990" w14:textId="37DC8325" w:rsidR="00955744" w:rsidRPr="00895B57" w:rsidRDefault="00955744" w:rsidP="00895B57">
      <w:pPr>
        <w:pStyle w:val="Listaszerbekezds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B57">
        <w:rPr>
          <w:rFonts w:ascii="Times New Roman" w:hAnsi="Times New Roman" w:cs="Times New Roman"/>
          <w:sz w:val="24"/>
          <w:szCs w:val="24"/>
        </w:rPr>
        <w:t xml:space="preserve">Álláspontom szerint a tervezetből hiányoznak az Alkotmánybíróság korábbi határozataira történő hivatkozások, az túlzott mértékben támaszkodik az </w:t>
      </w:r>
      <w:r w:rsidR="000874EF" w:rsidRPr="00895B57">
        <w:rPr>
          <w:rFonts w:ascii="Times New Roman" w:hAnsi="Times New Roman" w:cs="Times New Roman"/>
          <w:sz w:val="24"/>
          <w:szCs w:val="24"/>
        </w:rPr>
        <w:t>Fogyta</w:t>
      </w:r>
      <w:r w:rsidRPr="00895B57">
        <w:rPr>
          <w:rFonts w:ascii="Times New Roman" w:hAnsi="Times New Roman" w:cs="Times New Roman"/>
          <w:sz w:val="24"/>
          <w:szCs w:val="24"/>
        </w:rPr>
        <w:t>. rendelkezéseire, valamint tükröz egyéni álláspontot.</w:t>
      </w:r>
    </w:p>
    <w:p w14:paraId="7481CB67" w14:textId="67986244" w:rsidR="00955744" w:rsidRPr="00895B57" w:rsidRDefault="00955744" w:rsidP="00895B57">
      <w:pPr>
        <w:pStyle w:val="Listaszerbekezds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B57">
        <w:rPr>
          <w:rFonts w:ascii="Times New Roman" w:hAnsi="Times New Roman" w:cs="Times New Roman"/>
          <w:sz w:val="24"/>
          <w:szCs w:val="24"/>
        </w:rPr>
        <w:t>Az Alkotmánybíróság gyakorlata szerint a dátum formátumában a hónap betűvel jelölendő.</w:t>
      </w:r>
    </w:p>
    <w:p w14:paraId="32652110" w14:textId="37EE9D48" w:rsidR="00955744" w:rsidRPr="00895B57" w:rsidRDefault="00955744" w:rsidP="00895B57">
      <w:pPr>
        <w:pStyle w:val="Listaszerbekezds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B57">
        <w:rPr>
          <w:rFonts w:ascii="Times New Roman" w:hAnsi="Times New Roman" w:cs="Times New Roman"/>
          <w:sz w:val="24"/>
          <w:szCs w:val="24"/>
        </w:rPr>
        <w:t>A tervezethez nem lehet párhuzamos indokolást, illetve különvéleményt fűzni, mivel azt egy alkotmánybíró készíti, aki értelemszerűen nem gondolkodik semmilyen tekintetben másképp a saját maga által készített tervezethez képest.</w:t>
      </w:r>
    </w:p>
    <w:p w14:paraId="470599A2" w14:textId="3CE3C2CB" w:rsidR="005F0297" w:rsidRDefault="005F0297" w:rsidP="00111D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4C655" w14:textId="4850AA14" w:rsidR="005F0297" w:rsidRDefault="005F0297" w:rsidP="00111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Budapest, 2021. 10. 15.</w:t>
      </w:r>
    </w:p>
    <w:p w14:paraId="5999AB96" w14:textId="43A1B876" w:rsidR="005F0297" w:rsidRDefault="005F0297" w:rsidP="00111D4B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Lutring Erika s.k.,</w:t>
      </w:r>
    </w:p>
    <w:p w14:paraId="2E2E6D25" w14:textId="4BB9E5B0" w:rsidR="005F0297" w:rsidRPr="004F5236" w:rsidRDefault="005F0297" w:rsidP="00111D4B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 alkotmánybíró</w:t>
      </w:r>
    </w:p>
    <w:p w14:paraId="7A2AF66B" w14:textId="77777777" w:rsidR="00955744" w:rsidRDefault="00955744" w:rsidP="00111D4B"/>
    <w:sectPr w:rsidR="0095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A8F"/>
    <w:multiLevelType w:val="hybridMultilevel"/>
    <w:tmpl w:val="FCE810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7570A"/>
    <w:multiLevelType w:val="hybridMultilevel"/>
    <w:tmpl w:val="AF1663E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904E9"/>
    <w:multiLevelType w:val="hybridMultilevel"/>
    <w:tmpl w:val="EE084F72"/>
    <w:lvl w:ilvl="0" w:tplc="29503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31D8F"/>
    <w:multiLevelType w:val="hybridMultilevel"/>
    <w:tmpl w:val="72FE0DE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155333"/>
    <w:multiLevelType w:val="hybridMultilevel"/>
    <w:tmpl w:val="7B8C10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F567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71954"/>
    <w:multiLevelType w:val="hybridMultilevel"/>
    <w:tmpl w:val="CC5680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34BA0"/>
    <w:multiLevelType w:val="hybridMultilevel"/>
    <w:tmpl w:val="853840B8"/>
    <w:lvl w:ilvl="0" w:tplc="27C047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44"/>
    <w:rsid w:val="000874EF"/>
    <w:rsid w:val="000D64AD"/>
    <w:rsid w:val="00111D4B"/>
    <w:rsid w:val="001714C4"/>
    <w:rsid w:val="00205D0D"/>
    <w:rsid w:val="00362954"/>
    <w:rsid w:val="003B63F4"/>
    <w:rsid w:val="0044180C"/>
    <w:rsid w:val="00483D2C"/>
    <w:rsid w:val="005F0297"/>
    <w:rsid w:val="006C27E0"/>
    <w:rsid w:val="007A32EF"/>
    <w:rsid w:val="00895B57"/>
    <w:rsid w:val="00955744"/>
    <w:rsid w:val="009F562D"/>
    <w:rsid w:val="00A32D2A"/>
    <w:rsid w:val="00A57390"/>
    <w:rsid w:val="00BD72A6"/>
    <w:rsid w:val="00E56D84"/>
    <w:rsid w:val="00EC5BD6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51C9"/>
  <w15:chartTrackingRefBased/>
  <w15:docId w15:val="{99256453-B5AE-46FB-A4BF-55279CF2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57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55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6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Döndő Csilla</dc:creator>
  <cp:keywords/>
  <dc:description/>
  <cp:lastModifiedBy>Erika Lutring</cp:lastModifiedBy>
  <cp:revision>14</cp:revision>
  <dcterms:created xsi:type="dcterms:W3CDTF">2021-10-15T16:16:00Z</dcterms:created>
  <dcterms:modified xsi:type="dcterms:W3CDTF">2021-10-15T18:46:00Z</dcterms:modified>
</cp:coreProperties>
</file>