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9F9A7" w14:textId="69CB5ECC" w:rsidR="003E1648" w:rsidRDefault="003E1648" w:rsidP="00DF2FEA">
      <w:pPr>
        <w:spacing w:after="100" w:afterAutospacing="1" w:line="240" w:lineRule="auto"/>
        <w:jc w:val="center"/>
        <w:rPr>
          <w:rFonts w:ascii="Times New Roman" w:eastAsia="Times New Roman" w:hAnsi="Times New Roman" w:cs="Times New Roman"/>
          <w:b/>
          <w:bCs/>
          <w:color w:val="000000"/>
          <w:sz w:val="24"/>
          <w:szCs w:val="24"/>
          <w:lang w:eastAsia="hu-HU"/>
        </w:rPr>
      </w:pPr>
      <w:r w:rsidRPr="003E1648">
        <w:rPr>
          <w:rFonts w:ascii="Times New Roman" w:eastAsia="Times New Roman" w:hAnsi="Times New Roman" w:cs="Times New Roman"/>
          <w:b/>
          <w:bCs/>
          <w:color w:val="000000"/>
          <w:sz w:val="24"/>
          <w:szCs w:val="24"/>
          <w:lang w:eastAsia="hu-HU"/>
        </w:rPr>
        <w:t>A Debreceni Egyetem csapatának véleménye</w:t>
      </w:r>
    </w:p>
    <w:p w14:paraId="1E58A7A6" w14:textId="509B8E9B" w:rsidR="003E1648" w:rsidRPr="003E1648" w:rsidRDefault="003E1648" w:rsidP="00DF2FEA">
      <w:pPr>
        <w:spacing w:after="100" w:afterAutospacing="1" w:line="240" w:lineRule="auto"/>
        <w:jc w:val="center"/>
        <w:rPr>
          <w:rFonts w:ascii="Times New Roman" w:eastAsia="Times New Roman" w:hAnsi="Times New Roman" w:cs="Times New Roman"/>
          <w:sz w:val="24"/>
          <w:szCs w:val="24"/>
          <w:lang w:eastAsia="hu-HU"/>
        </w:rPr>
      </w:pPr>
      <w:r w:rsidRPr="003E1648">
        <w:rPr>
          <w:rFonts w:ascii="Times New Roman" w:eastAsia="Times New Roman" w:hAnsi="Times New Roman" w:cs="Times New Roman"/>
          <w:b/>
          <w:bCs/>
          <w:color w:val="000000"/>
          <w:sz w:val="24"/>
          <w:szCs w:val="24"/>
          <w:lang w:eastAsia="hu-HU"/>
        </w:rPr>
        <w:t xml:space="preserve">a Nemzeti Közszolgálati Egyetem csapata által készített </w:t>
      </w:r>
      <w:r w:rsidR="00BD2B2B">
        <w:rPr>
          <w:rFonts w:ascii="Times New Roman" w:eastAsia="Times New Roman" w:hAnsi="Times New Roman" w:cs="Times New Roman"/>
          <w:b/>
          <w:bCs/>
          <w:color w:val="000000"/>
          <w:sz w:val="24"/>
          <w:szCs w:val="24"/>
          <w:lang w:eastAsia="hu-HU"/>
        </w:rPr>
        <w:t>tervezetről</w:t>
      </w:r>
    </w:p>
    <w:p w14:paraId="44B7D442" w14:textId="77777777" w:rsidR="003E1648" w:rsidRDefault="003E1648" w:rsidP="00DF2FEA">
      <w:pPr>
        <w:spacing w:after="100" w:afterAutospacing="1" w:line="240" w:lineRule="auto"/>
        <w:jc w:val="both"/>
        <w:rPr>
          <w:rFonts w:ascii="Times New Roman" w:eastAsia="Times New Roman" w:hAnsi="Times New Roman" w:cs="Times New Roman"/>
          <w:color w:val="000000"/>
          <w:sz w:val="24"/>
          <w:szCs w:val="24"/>
          <w:lang w:eastAsia="hu-HU"/>
        </w:rPr>
      </w:pPr>
    </w:p>
    <w:p w14:paraId="066AB9BA" w14:textId="61C8BEFE" w:rsidR="00DF2FEA" w:rsidRPr="003E1648" w:rsidRDefault="003E1648" w:rsidP="00DF2FEA">
      <w:pPr>
        <w:spacing w:after="100" w:afterAutospacing="1"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A csapat a bírói döntések alaptörvény-ellenessége és azok megsemmisítése mellett tört lándzsát, ilyen tekintetben hasonló a mi csapatunk megoldásához, mivel végső soron mi is erre a döntésre jutottunk. </w:t>
      </w:r>
      <w:r w:rsidR="00DF2FEA" w:rsidRPr="003E1648">
        <w:rPr>
          <w:rFonts w:ascii="Times New Roman" w:eastAsia="Times New Roman" w:hAnsi="Times New Roman" w:cs="Times New Roman"/>
          <w:color w:val="000000"/>
          <w:sz w:val="24"/>
          <w:szCs w:val="24"/>
          <w:lang w:eastAsia="hu-HU"/>
        </w:rPr>
        <w:t>A csapat gondolatmenetét helyesnek találtuk</w:t>
      </w:r>
      <w:r w:rsidR="00DF2FEA">
        <w:rPr>
          <w:rFonts w:ascii="Times New Roman" w:eastAsia="Times New Roman" w:hAnsi="Times New Roman" w:cs="Times New Roman"/>
          <w:color w:val="000000"/>
          <w:sz w:val="24"/>
          <w:szCs w:val="24"/>
          <w:lang w:eastAsia="hu-HU"/>
        </w:rPr>
        <w:t xml:space="preserve"> arra vonatkozóan</w:t>
      </w:r>
      <w:r w:rsidR="00DF2FEA" w:rsidRPr="003E1648">
        <w:rPr>
          <w:rFonts w:ascii="Times New Roman" w:eastAsia="Times New Roman" w:hAnsi="Times New Roman" w:cs="Times New Roman"/>
          <w:color w:val="000000"/>
          <w:sz w:val="24"/>
          <w:szCs w:val="24"/>
          <w:lang w:eastAsia="hu-HU"/>
        </w:rPr>
        <w:t xml:space="preserve">, </w:t>
      </w:r>
      <w:r w:rsidR="00DF2FEA">
        <w:rPr>
          <w:rFonts w:ascii="Times New Roman" w:eastAsia="Times New Roman" w:hAnsi="Times New Roman" w:cs="Times New Roman"/>
          <w:color w:val="000000"/>
          <w:sz w:val="24"/>
          <w:szCs w:val="24"/>
          <w:lang w:eastAsia="hu-HU"/>
        </w:rPr>
        <w:t>hogy</w:t>
      </w:r>
      <w:r w:rsidR="00DF2FEA" w:rsidRPr="003E1648">
        <w:rPr>
          <w:rFonts w:ascii="Times New Roman" w:eastAsia="Times New Roman" w:hAnsi="Times New Roman" w:cs="Times New Roman"/>
          <w:color w:val="000000"/>
          <w:sz w:val="24"/>
          <w:szCs w:val="24"/>
          <w:lang w:eastAsia="hu-HU"/>
        </w:rPr>
        <w:t xml:space="preserve"> megállapították a véleményszabadság horizontális hatályát. A mi határozatunkban is szerepel ez, hiszen úgy láttuk, hogy ilyen kiemelkedően fontos ügyben ezen alapvető jog védelme érdekében szükséges erre a megállapításra jutni.</w:t>
      </w:r>
    </w:p>
    <w:p w14:paraId="4A24582E" w14:textId="22536D1D" w:rsidR="003E1648" w:rsidRPr="003E1648" w:rsidRDefault="00DF2FEA" w:rsidP="00DF2FEA">
      <w:pPr>
        <w:spacing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w:t>
      </w:r>
      <w:r w:rsidR="003E1648" w:rsidRPr="003E1648">
        <w:rPr>
          <w:rFonts w:ascii="Times New Roman" w:eastAsia="Times New Roman" w:hAnsi="Times New Roman" w:cs="Times New Roman"/>
          <w:color w:val="000000"/>
          <w:sz w:val="24"/>
          <w:szCs w:val="24"/>
          <w:lang w:eastAsia="hu-HU"/>
        </w:rPr>
        <w:t xml:space="preserve">z </w:t>
      </w:r>
      <w:r w:rsidR="00F44604">
        <w:rPr>
          <w:rFonts w:ascii="Times New Roman" w:eastAsia="Times New Roman" w:hAnsi="Times New Roman" w:cs="Times New Roman"/>
          <w:color w:val="000000"/>
          <w:sz w:val="24"/>
          <w:szCs w:val="24"/>
          <w:lang w:eastAsia="hu-HU"/>
        </w:rPr>
        <w:t>A</w:t>
      </w:r>
      <w:r w:rsidR="003E1648" w:rsidRPr="003E1648">
        <w:rPr>
          <w:rFonts w:ascii="Times New Roman" w:eastAsia="Times New Roman" w:hAnsi="Times New Roman" w:cs="Times New Roman"/>
          <w:color w:val="000000"/>
          <w:sz w:val="24"/>
          <w:szCs w:val="24"/>
          <w:lang w:eastAsia="hu-HU"/>
        </w:rPr>
        <w:t xml:space="preserve">laptörvénybe ütközés </w:t>
      </w:r>
      <w:r w:rsidR="00F44604">
        <w:rPr>
          <w:rFonts w:ascii="Times New Roman" w:eastAsia="Times New Roman" w:hAnsi="Times New Roman" w:cs="Times New Roman"/>
          <w:color w:val="000000"/>
          <w:sz w:val="24"/>
          <w:szCs w:val="24"/>
          <w:lang w:eastAsia="hu-HU"/>
        </w:rPr>
        <w:t>indokainak</w:t>
      </w:r>
      <w:r w:rsidR="003E1648" w:rsidRPr="003E1648">
        <w:rPr>
          <w:rFonts w:ascii="Times New Roman" w:eastAsia="Times New Roman" w:hAnsi="Times New Roman" w:cs="Times New Roman"/>
          <w:color w:val="000000"/>
          <w:sz w:val="24"/>
          <w:szCs w:val="24"/>
          <w:lang w:eastAsia="hu-HU"/>
        </w:rPr>
        <w:t xml:space="preserve"> kifejtésében, illetve a határozat felépítésében, logikájában </w:t>
      </w:r>
      <w:r>
        <w:rPr>
          <w:rFonts w:ascii="Times New Roman" w:eastAsia="Times New Roman" w:hAnsi="Times New Roman" w:cs="Times New Roman"/>
          <w:color w:val="000000"/>
          <w:sz w:val="24"/>
          <w:szCs w:val="24"/>
          <w:lang w:eastAsia="hu-HU"/>
        </w:rPr>
        <w:t>a</w:t>
      </w:r>
      <w:r w:rsidRPr="003E1648">
        <w:rPr>
          <w:rFonts w:ascii="Times New Roman" w:eastAsia="Times New Roman" w:hAnsi="Times New Roman" w:cs="Times New Roman"/>
          <w:color w:val="000000"/>
          <w:sz w:val="24"/>
          <w:szCs w:val="24"/>
          <w:lang w:eastAsia="hu-HU"/>
        </w:rPr>
        <w:t xml:space="preserve">zonban </w:t>
      </w:r>
      <w:r w:rsidR="003E1648" w:rsidRPr="003E1648">
        <w:rPr>
          <w:rFonts w:ascii="Times New Roman" w:eastAsia="Times New Roman" w:hAnsi="Times New Roman" w:cs="Times New Roman"/>
          <w:color w:val="000000"/>
          <w:sz w:val="24"/>
          <w:szCs w:val="24"/>
          <w:lang w:eastAsia="hu-HU"/>
        </w:rPr>
        <w:t>több olyan pontot is találtunk, amelyek véleményünk szerint nem megfelelően kerültek kidolgozásra.</w:t>
      </w:r>
    </w:p>
    <w:p w14:paraId="6F57C47C" w14:textId="48260ABF" w:rsidR="003E1648" w:rsidRPr="003E1648" w:rsidRDefault="003E1648" w:rsidP="00DF2FEA">
      <w:pPr>
        <w:spacing w:after="100" w:afterAutospacing="1"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A határozat III. pontja szól a </w:t>
      </w:r>
      <w:r w:rsidR="00F44604">
        <w:rPr>
          <w:rFonts w:ascii="Times New Roman" w:eastAsia="Times New Roman" w:hAnsi="Times New Roman" w:cs="Times New Roman"/>
          <w:color w:val="000000"/>
          <w:sz w:val="24"/>
          <w:szCs w:val="24"/>
          <w:lang w:eastAsia="hu-HU"/>
        </w:rPr>
        <w:t xml:space="preserve">panasz </w:t>
      </w:r>
      <w:r w:rsidRPr="003E1648">
        <w:rPr>
          <w:rFonts w:ascii="Times New Roman" w:eastAsia="Times New Roman" w:hAnsi="Times New Roman" w:cs="Times New Roman"/>
          <w:color w:val="000000"/>
          <w:sz w:val="24"/>
          <w:szCs w:val="24"/>
          <w:lang w:eastAsia="hu-HU"/>
        </w:rPr>
        <w:t>befogadhatóság</w:t>
      </w:r>
      <w:r w:rsidR="00F44604">
        <w:rPr>
          <w:rFonts w:ascii="Times New Roman" w:eastAsia="Times New Roman" w:hAnsi="Times New Roman" w:cs="Times New Roman"/>
          <w:color w:val="000000"/>
          <w:sz w:val="24"/>
          <w:szCs w:val="24"/>
          <w:lang w:eastAsia="hu-HU"/>
        </w:rPr>
        <w:t>á</w:t>
      </w:r>
      <w:r w:rsidRPr="003E1648">
        <w:rPr>
          <w:rFonts w:ascii="Times New Roman" w:eastAsia="Times New Roman" w:hAnsi="Times New Roman" w:cs="Times New Roman"/>
          <w:color w:val="000000"/>
          <w:sz w:val="24"/>
          <w:szCs w:val="24"/>
          <w:lang w:eastAsia="hu-HU"/>
        </w:rPr>
        <w:t>ról</w:t>
      </w:r>
      <w:r w:rsidR="00F44604">
        <w:rPr>
          <w:rFonts w:ascii="Times New Roman" w:eastAsia="Times New Roman" w:hAnsi="Times New Roman" w:cs="Times New Roman"/>
          <w:color w:val="000000"/>
          <w:sz w:val="24"/>
          <w:szCs w:val="24"/>
          <w:lang w:eastAsia="hu-HU"/>
        </w:rPr>
        <w:t>.</w:t>
      </w:r>
      <w:r w:rsidRPr="003E1648">
        <w:rPr>
          <w:rFonts w:ascii="Times New Roman" w:eastAsia="Times New Roman" w:hAnsi="Times New Roman" w:cs="Times New Roman"/>
          <w:color w:val="000000"/>
          <w:sz w:val="24"/>
          <w:szCs w:val="24"/>
          <w:lang w:eastAsia="hu-HU"/>
        </w:rPr>
        <w:t xml:space="preserve"> </w:t>
      </w:r>
      <w:r w:rsidR="00F44604">
        <w:rPr>
          <w:rFonts w:ascii="Times New Roman" w:eastAsia="Times New Roman" w:hAnsi="Times New Roman" w:cs="Times New Roman"/>
          <w:color w:val="000000"/>
          <w:sz w:val="24"/>
          <w:szCs w:val="24"/>
          <w:lang w:eastAsia="hu-HU"/>
        </w:rPr>
        <w:t>E</w:t>
      </w:r>
      <w:r w:rsidRPr="003E1648">
        <w:rPr>
          <w:rFonts w:ascii="Times New Roman" w:eastAsia="Times New Roman" w:hAnsi="Times New Roman" w:cs="Times New Roman"/>
          <w:color w:val="000000"/>
          <w:sz w:val="24"/>
          <w:szCs w:val="24"/>
          <w:lang w:eastAsia="hu-HU"/>
        </w:rPr>
        <w:t xml:space="preserve">zt célszerűbb lett volna </w:t>
      </w:r>
      <w:r w:rsidR="00F44604" w:rsidRPr="003E1648">
        <w:rPr>
          <w:rFonts w:ascii="Times New Roman" w:eastAsia="Times New Roman" w:hAnsi="Times New Roman" w:cs="Times New Roman"/>
          <w:color w:val="000000"/>
          <w:sz w:val="24"/>
          <w:szCs w:val="24"/>
          <w:lang w:eastAsia="hu-HU"/>
        </w:rPr>
        <w:t xml:space="preserve">bővebben </w:t>
      </w:r>
      <w:r w:rsidRPr="003E1648">
        <w:rPr>
          <w:rFonts w:ascii="Times New Roman" w:eastAsia="Times New Roman" w:hAnsi="Times New Roman" w:cs="Times New Roman"/>
          <w:color w:val="000000"/>
          <w:sz w:val="24"/>
          <w:szCs w:val="24"/>
          <w:lang w:eastAsia="hu-HU"/>
        </w:rPr>
        <w:t xml:space="preserve">kifejteni, hiszen egy elég fontos </w:t>
      </w:r>
      <w:r w:rsidR="00F44604">
        <w:rPr>
          <w:rFonts w:ascii="Times New Roman" w:eastAsia="Times New Roman" w:hAnsi="Times New Roman" w:cs="Times New Roman"/>
          <w:color w:val="000000"/>
          <w:sz w:val="24"/>
          <w:szCs w:val="24"/>
          <w:lang w:eastAsia="hu-HU"/>
        </w:rPr>
        <w:t>elem</w:t>
      </w:r>
      <w:r w:rsidRPr="003E1648">
        <w:rPr>
          <w:rFonts w:ascii="Times New Roman" w:eastAsia="Times New Roman" w:hAnsi="Times New Roman" w:cs="Times New Roman"/>
          <w:color w:val="000000"/>
          <w:sz w:val="24"/>
          <w:szCs w:val="24"/>
          <w:lang w:eastAsia="hu-HU"/>
        </w:rPr>
        <w:t xml:space="preserve"> kimaradt belőle, mégpedig az, hogy a bírói döntést érdemben befolyásoló alaptörvény-ellenesség, vagy alapvető alkotmányjogi jelentőségű kérdés (esetleg mindkettő) forog-e fenn jelen esetben, és miért. Ezek közül az egyiknek a fennállása ugyanis az </w:t>
      </w:r>
      <w:proofErr w:type="spellStart"/>
      <w:r w:rsidRPr="003E1648">
        <w:rPr>
          <w:rFonts w:ascii="Times New Roman" w:eastAsia="Times New Roman" w:hAnsi="Times New Roman" w:cs="Times New Roman"/>
          <w:color w:val="000000"/>
          <w:sz w:val="24"/>
          <w:szCs w:val="24"/>
          <w:lang w:eastAsia="hu-HU"/>
        </w:rPr>
        <w:t>Abtv</w:t>
      </w:r>
      <w:proofErr w:type="spellEnd"/>
      <w:r w:rsidRPr="003E1648">
        <w:rPr>
          <w:rFonts w:ascii="Times New Roman" w:eastAsia="Times New Roman" w:hAnsi="Times New Roman" w:cs="Times New Roman"/>
          <w:color w:val="000000"/>
          <w:sz w:val="24"/>
          <w:szCs w:val="24"/>
          <w:lang w:eastAsia="hu-HU"/>
        </w:rPr>
        <w:t>. 29.</w:t>
      </w:r>
      <w:r w:rsidR="00F44604">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 szerint mindenképp szükséges az indítvány befogadásához. Ezzel kapcsolatban megjegyzendő továbbá, hogy a [36] bekezdésben ismét a befogadhatóság egyik feltételét boncolgatják, ezt célszerűbb lett volna ugyanitt, a III. pontnál tisztázni.</w:t>
      </w:r>
    </w:p>
    <w:p w14:paraId="1519B8D8" w14:textId="04543CDC" w:rsidR="003E1648" w:rsidRPr="003E1648" w:rsidRDefault="003E1648" w:rsidP="00DF2FEA">
      <w:pPr>
        <w:spacing w:after="100" w:afterAutospacing="1"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Szerintünk a kardinális probléma a csapat határozatával az volt, hogy az indítványban érintett alapjogok közül egyedül a szólásszabadsággal kapcsolatban található benne érvelés (és ennek sérelme okán kerül sor az ítéletek megsemmisítésére), annak ellenére, hogy az indítványozó hivatkozott az egyenlő bánásmód követelményének, valamint a jogorvoslathoz való jogának sérelmére is. Igaz, hogy a [24] bekezdésben említik a diszkriminációt, sőt megállapítják annak fennállását is, azonban ez olyannyira rövid és tömör, hogy nem tekinthető érdemi alkotmányjogi érvelésnek. Ráadásul a [38] bekezdésben, ahol végül összefoglalják, hogy mi az ítéletek megsemmisítésének indoka –</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azaz mely alapjogok sérültek</w:t>
      </w:r>
      <w:r w:rsidRPr="003E1648">
        <w:rPr>
          <w:rFonts w:ascii="Times New Roman" w:eastAsia="Times New Roman" w:hAnsi="Times New Roman" w:cs="Times New Roman"/>
          <w:color w:val="000000"/>
          <w:sz w:val="24"/>
          <w:szCs w:val="24"/>
          <w:lang w:eastAsia="hu-HU"/>
        </w:rPr>
        <w:softHyphen/>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szóba se kerül a hátrányos megkülönböztetés. Mindezek alapján az az érzésünk támadt, hogy a csapat nem igazán tudta, hogy mennyire kellene foglalkoznia ezzel a kérdéssel. Ami pedig a jogorvoslathoz való jogot illeti, az még csak említés szintjén sem jelenik meg a határozatban. Természetesen az Alkotmánybíróság gyakorlata ismer olyan megoldási lehetőséget, hogy több alapjog esetleges sérelme esetén, amennyiben az egyik sérelme az eljárás során valóban beigazolódik, akkor a többit már nem vizsgálja, hiszen az adott ítélet már úgyis megsemmisítésre fog kerülni. Ilyen esetekben azonban a határozatokban ezt a tényt fel kell tüntetni, tehát a bírói testületnek jeleznie kell, hogy tudomásul vette a többi alapjogot a panaszindítványban, azonban azokkal</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nem fog érdemben foglalkozni. Jelen határozatban ilyen nem található, azt a látszatot kelti tehát, hogy az A</w:t>
      </w:r>
      <w:r w:rsidR="001B49A5">
        <w:rPr>
          <w:rFonts w:ascii="Times New Roman" w:eastAsia="Times New Roman" w:hAnsi="Times New Roman" w:cs="Times New Roman"/>
          <w:color w:val="000000"/>
          <w:sz w:val="24"/>
          <w:szCs w:val="24"/>
          <w:lang w:eastAsia="hu-HU"/>
        </w:rPr>
        <w:t>lkotmánybíróság</w:t>
      </w:r>
      <w:r w:rsidRPr="003E1648">
        <w:rPr>
          <w:rFonts w:ascii="Times New Roman" w:eastAsia="Times New Roman" w:hAnsi="Times New Roman" w:cs="Times New Roman"/>
          <w:color w:val="000000"/>
          <w:sz w:val="24"/>
          <w:szCs w:val="24"/>
          <w:lang w:eastAsia="hu-HU"/>
        </w:rPr>
        <w:t xml:space="preserve"> egyszerűen elfeledkezett az indítványban megjelölt többi jog vizsgálatáról.</w:t>
      </w:r>
    </w:p>
    <w:p w14:paraId="012B3A13" w14:textId="3F50D103" w:rsidR="003E1648" w:rsidRDefault="003E1648" w:rsidP="00DF2FEA">
      <w:pPr>
        <w:spacing w:after="100" w:afterAutospacing="1" w:line="240" w:lineRule="auto"/>
        <w:jc w:val="both"/>
        <w:rPr>
          <w:rFonts w:ascii="Times New Roman" w:eastAsia="Times New Roman" w:hAnsi="Times New Roman" w:cs="Times New Roman"/>
          <w:color w:val="000000"/>
          <w:sz w:val="24"/>
          <w:szCs w:val="24"/>
          <w:lang w:eastAsia="hu-HU"/>
        </w:rPr>
      </w:pPr>
      <w:r w:rsidRPr="003E1648">
        <w:rPr>
          <w:rFonts w:ascii="Times New Roman" w:eastAsia="Times New Roman" w:hAnsi="Times New Roman" w:cs="Times New Roman"/>
          <w:color w:val="000000"/>
          <w:sz w:val="24"/>
          <w:szCs w:val="24"/>
          <w:lang w:eastAsia="hu-HU"/>
        </w:rPr>
        <w:t xml:space="preserve">A [38] </w:t>
      </w:r>
      <w:r w:rsidR="001B49A5">
        <w:rPr>
          <w:rFonts w:ascii="Times New Roman" w:eastAsia="Times New Roman" w:hAnsi="Times New Roman" w:cs="Times New Roman"/>
          <w:color w:val="000000"/>
          <w:sz w:val="24"/>
          <w:szCs w:val="24"/>
          <w:lang w:eastAsia="hu-HU"/>
        </w:rPr>
        <w:t>bekezdés</w:t>
      </w:r>
      <w:r w:rsidRPr="003E1648">
        <w:rPr>
          <w:rFonts w:ascii="Times New Roman" w:eastAsia="Times New Roman" w:hAnsi="Times New Roman" w:cs="Times New Roman"/>
          <w:color w:val="000000"/>
          <w:sz w:val="24"/>
          <w:szCs w:val="24"/>
          <w:lang w:eastAsia="hu-HU"/>
        </w:rPr>
        <w:t xml:space="preserve">nél maradva, érthetetlen számunkra az a megállapítás, hogy </w:t>
      </w:r>
      <w:r w:rsidR="001B49A5">
        <w:rPr>
          <w:rFonts w:ascii="Times New Roman" w:eastAsia="Times New Roman" w:hAnsi="Times New Roman" w:cs="Times New Roman"/>
          <w:color w:val="000000"/>
          <w:sz w:val="24"/>
          <w:szCs w:val="24"/>
          <w:lang w:eastAsia="hu-HU"/>
        </w:rPr>
        <w:t xml:space="preserve">az indítványozónak </w:t>
      </w:r>
      <w:r w:rsidRPr="003E1648">
        <w:rPr>
          <w:rFonts w:ascii="Times New Roman" w:eastAsia="Times New Roman" w:hAnsi="Times New Roman" w:cs="Times New Roman"/>
          <w:color w:val="000000"/>
          <w:sz w:val="24"/>
          <w:szCs w:val="24"/>
          <w:lang w:eastAsia="hu-HU"/>
        </w:rPr>
        <w:t xml:space="preserve">„a Polgári Törvénykönyvről szóló 2013. évi V. törvény 2:43.§ c) pontjában nevesített személyiségi joga sérült”. Az Alkotmánybíróság nem állapíthatja meg egy ügyben valamely polgári jogi norma sérelmét, nem tölthet be egy harmadfokú bírósági szerepkört, az ítéletet csak alkotmányossági szempontból vizsgálhatja felül. Ilyen megállapítást, hogy az ügyben sérült a </w:t>
      </w:r>
      <w:r w:rsidR="001B49A5">
        <w:rPr>
          <w:rFonts w:ascii="Times New Roman" w:eastAsia="Times New Roman" w:hAnsi="Times New Roman" w:cs="Times New Roman"/>
          <w:color w:val="000000"/>
          <w:sz w:val="24"/>
          <w:szCs w:val="24"/>
          <w:lang w:eastAsia="hu-HU"/>
        </w:rPr>
        <w:lastRenderedPageBreak/>
        <w:t>személyiségi</w:t>
      </w:r>
      <w:r w:rsidRPr="003E1648">
        <w:rPr>
          <w:rFonts w:ascii="Times New Roman" w:eastAsia="Times New Roman" w:hAnsi="Times New Roman" w:cs="Times New Roman"/>
          <w:color w:val="000000"/>
          <w:sz w:val="24"/>
          <w:szCs w:val="24"/>
          <w:lang w:eastAsia="hu-HU"/>
        </w:rPr>
        <w:t xml:space="preserve"> joga az indítványozónak</w:t>
      </w:r>
      <w:r w:rsidR="001B49A5">
        <w:rPr>
          <w:rFonts w:ascii="Times New Roman" w:eastAsia="Times New Roman" w:hAnsi="Times New Roman" w:cs="Times New Roman"/>
          <w:color w:val="000000"/>
          <w:sz w:val="24"/>
          <w:szCs w:val="24"/>
          <w:lang w:eastAsia="hu-HU"/>
        </w:rPr>
        <w:t>,</w:t>
      </w:r>
      <w:r w:rsidRPr="003E1648">
        <w:rPr>
          <w:rFonts w:ascii="Times New Roman" w:eastAsia="Times New Roman" w:hAnsi="Times New Roman" w:cs="Times New Roman"/>
          <w:color w:val="000000"/>
          <w:sz w:val="24"/>
          <w:szCs w:val="24"/>
          <w:lang w:eastAsia="hu-HU"/>
        </w:rPr>
        <w:t xml:space="preserve"> csak és kizárólag polgári bíróság mondhat ki.</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Érthetetlennek tartjuk továbbá a fogyasztóvédelmi törvény beemelését a határozatba</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főleg annak hosszas szó szerinti idézését</w:t>
      </w:r>
      <w:r w:rsidR="001B49A5">
        <w:rPr>
          <w:rFonts w:ascii="Times New Roman" w:eastAsia="Times New Roman" w:hAnsi="Times New Roman" w:cs="Times New Roman"/>
          <w:color w:val="000000"/>
          <w:sz w:val="24"/>
          <w:szCs w:val="24"/>
          <w:lang w:eastAsia="hu-HU"/>
        </w:rPr>
        <w:t xml:space="preserve"> </w:t>
      </w:r>
      <w:r w:rsidRPr="003E1648">
        <w:rPr>
          <w:rFonts w:ascii="Times New Roman" w:eastAsia="Times New Roman" w:hAnsi="Times New Roman" w:cs="Times New Roman"/>
          <w:color w:val="000000"/>
          <w:sz w:val="24"/>
          <w:szCs w:val="24"/>
          <w:lang w:eastAsia="hu-HU"/>
        </w:rPr>
        <w:t xml:space="preserve">– tekintettel arra, hogy arra nem hivatkozott az indítványozó. Az Alkotmánybíróság törvényességi észrevételt nem tehet, csupán alkotmányos felülvizsgálatot végezhet. Arra nincs lehetőség egy alkotmányjogi panaszeljárásban, hogy a Ptk. és a </w:t>
      </w:r>
      <w:proofErr w:type="spellStart"/>
      <w:r w:rsidRPr="003E1648">
        <w:rPr>
          <w:rFonts w:ascii="Times New Roman" w:eastAsia="Times New Roman" w:hAnsi="Times New Roman" w:cs="Times New Roman"/>
          <w:color w:val="000000"/>
          <w:sz w:val="24"/>
          <w:szCs w:val="24"/>
          <w:lang w:eastAsia="hu-HU"/>
        </w:rPr>
        <w:t>Fgy</w:t>
      </w:r>
      <w:proofErr w:type="spellEnd"/>
      <w:r w:rsidRPr="003E1648">
        <w:rPr>
          <w:rFonts w:ascii="Times New Roman" w:eastAsia="Times New Roman" w:hAnsi="Times New Roman" w:cs="Times New Roman"/>
          <w:color w:val="000000"/>
          <w:sz w:val="24"/>
          <w:szCs w:val="24"/>
          <w:lang w:eastAsia="hu-HU"/>
        </w:rPr>
        <w:t>. tv. alapján az Alkotmánybíróság a konkrét ügyet elbírálja.</w:t>
      </w:r>
    </w:p>
    <w:p w14:paraId="61DEC583" w14:textId="77777777" w:rsidR="00DF2FEA" w:rsidRPr="00DF2FEA" w:rsidRDefault="00DF2FEA" w:rsidP="00305DFE">
      <w:pPr>
        <w:spacing w:after="100" w:afterAutospacing="1" w:line="240" w:lineRule="auto"/>
        <w:jc w:val="both"/>
        <w:rPr>
          <w:rFonts w:ascii="Times New Roman" w:hAnsi="Times New Roman" w:cs="Times New Roman"/>
          <w:sz w:val="24"/>
          <w:szCs w:val="24"/>
        </w:rPr>
      </w:pPr>
      <w:r w:rsidRPr="00DF2FEA">
        <w:rPr>
          <w:rFonts w:ascii="Times New Roman" w:hAnsi="Times New Roman" w:cs="Times New Roman"/>
          <w:sz w:val="24"/>
          <w:szCs w:val="24"/>
        </w:rPr>
        <w:t xml:space="preserve">A </w:t>
      </w:r>
      <w:proofErr w:type="gramStart"/>
      <w:r w:rsidRPr="00DF2FEA">
        <w:rPr>
          <w:rFonts w:ascii="Times New Roman" w:hAnsi="Times New Roman" w:cs="Times New Roman"/>
          <w:sz w:val="24"/>
          <w:szCs w:val="24"/>
        </w:rPr>
        <w:t>sajtószabadság</w:t>
      </w:r>
      <w:proofErr w:type="gramEnd"/>
      <w:r w:rsidRPr="00DF2FEA">
        <w:rPr>
          <w:rFonts w:ascii="Times New Roman" w:hAnsi="Times New Roman" w:cs="Times New Roman"/>
          <w:sz w:val="24"/>
          <w:szCs w:val="24"/>
        </w:rPr>
        <w:t xml:space="preserve"> mint a véleménynyilvánítási szabadsággal szorosan összefüggő kommunikációs jog relevanciája álláspontunk szerint az ügyben vitatható. A sajtószabadság ugyanis az egyes médiumok szabadságát öleli fel, és az Alkotmánybíróság többször megerősített álláspontja szerint „a sajtó a szólásszabadság intézménye…. egyszerre eszköze a szabad véleménynyilvánításnak, a tájékoztatásnak, valamint a tájékozódásnak. A sajtószabadság egyéni alapjogként abban az értelemben eszköz, hogy felerősíti az egyéni véleménynyilvánítás hatását, és támogatja a demokratikus közvélemény közérdekű ügyekről való tájékoztatását, a közérdekű ügyekkel kapcsolatos véleményformálást. A sajtószabadság jogának gyakorlása révén az alapjog jogosultja aktív alakítója a demokratikus közvéleménynek. A sajtó ezen minőségében ellenőrzi a közélet szereplőinek, intézményeinek tevékenységét, a döntéshozatal folyamatát, tájékoztatja arról a politikai közösséget, a demokratikus nyilvánosságot (a „házőrző kutya” szerepe). A sajtószabadság, a szabad sajtó intézménye nemzetközi egyezményekben, dokumentumokban is rögzített védelmének — és felelősségének — alapvető indoka tehát az egyéni véleményalkotáshoz elengedhetetlen közlések, a közérdekű információk teljességének nyilvánosságra kerülése, a „hivatalos helyes állásponton” alapuló monopolisztikus „közvélekedés” kialakulásának elkerülése.” {Lásd elsőként 37/1992. (VI. 10.) AB határozat, ABH 1992, 227, 229., megerősítette többek között 165/2011. (XII. 20.) AB határozat, ABH 2011, 478, 503., 7/2014. (III. 7.) AB határozat Indokolás [19]}.</w:t>
      </w:r>
    </w:p>
    <w:p w14:paraId="3A4C2335" w14:textId="62783D67" w:rsidR="00DF2FEA" w:rsidRPr="00DF2FEA" w:rsidRDefault="00DF2FEA" w:rsidP="00305DFE">
      <w:pPr>
        <w:spacing w:after="100" w:afterAutospacing="1" w:line="240" w:lineRule="auto"/>
        <w:jc w:val="both"/>
        <w:rPr>
          <w:rFonts w:ascii="Times New Roman" w:hAnsi="Times New Roman" w:cs="Times New Roman"/>
          <w:sz w:val="24"/>
          <w:szCs w:val="24"/>
        </w:rPr>
      </w:pPr>
      <w:r w:rsidRPr="00DF2FEA">
        <w:rPr>
          <w:rFonts w:ascii="Times New Roman" w:hAnsi="Times New Roman" w:cs="Times New Roman"/>
          <w:sz w:val="24"/>
          <w:szCs w:val="24"/>
        </w:rPr>
        <w:t>A Facebook tevékenységét és az ott megjelenő (akár közéleti kérdésekhez kapcsolódó) vélemények megjelenítését klasszikusan nem lehet a sajtószabadság védelmi körébe sorolni, hiszen a Facebook nem minősül önálló médiumnak, elsődleges célja nem a nyilvánosság tájékoztatása, tartalmai nem szerkesztett tartalmak, azokat nem szerkesztőségi rendszerben állítják elő. Nem felel meg a sajtószabadságról és a médiatartalmak alapvető szabályairól szóló 2010. évi CIV. törvény (</w:t>
      </w:r>
      <w:proofErr w:type="spellStart"/>
      <w:r w:rsidRPr="00DF2FEA">
        <w:rPr>
          <w:rFonts w:ascii="Times New Roman" w:hAnsi="Times New Roman" w:cs="Times New Roman"/>
          <w:sz w:val="24"/>
          <w:szCs w:val="24"/>
        </w:rPr>
        <w:t>Smtv</w:t>
      </w:r>
      <w:proofErr w:type="spellEnd"/>
      <w:r w:rsidRPr="00DF2FEA">
        <w:rPr>
          <w:rFonts w:ascii="Times New Roman" w:hAnsi="Times New Roman" w:cs="Times New Roman"/>
          <w:sz w:val="24"/>
          <w:szCs w:val="24"/>
        </w:rPr>
        <w:t xml:space="preserve">.) definíciójának, hiszen nem minősül olyan gazdasági szolgáltatásnak, amely „célja, hogy egy médiaszolgáltató szerkesztői felelősségi körébe tartozó műsorszámokat tájékoztatás, szórakoztatás vagy oktatás céljából a nyilvánossághoz eljuttassa”. Vannak a jogirodalomban olyan álláspontok, amelyek értelmében a sajtószabadság alapjoga értelmezhető a Facebook és a hozzá hasonló, a közlések nyilvánossághoz való eljuttatásában kulcsszerepet játszó internetes vállalatok tevékenységére (például oly módon, hogy szerkesztett tartalomelőállításnak tekintjük azt, hogy a Facebook dönthet egyes közlések eltávolításáról, mások gyakoribb megjelenítéséről). Ez az álláspont azonban ma még nem tekinthető általánosan elfogadottnak, különösen a magyar AB gyakorlatában, így a jelen ügyben való alkalmazása részletesebb elvi kifejtést kívánt volna. Az sem teljesen világos, mi lenne </w:t>
      </w:r>
      <w:r>
        <w:rPr>
          <w:rFonts w:ascii="Times New Roman" w:hAnsi="Times New Roman" w:cs="Times New Roman"/>
          <w:sz w:val="24"/>
          <w:szCs w:val="24"/>
        </w:rPr>
        <w:t>a sajtószabadság</w:t>
      </w:r>
      <w:r w:rsidRPr="00DF2FEA">
        <w:rPr>
          <w:rFonts w:ascii="Times New Roman" w:hAnsi="Times New Roman" w:cs="Times New Roman"/>
          <w:sz w:val="24"/>
          <w:szCs w:val="24"/>
        </w:rPr>
        <w:t xml:space="preserve"> jelentősége a jelen ügyben, hiszen a jelen ügyben a posztoló képviselő véleménynyilvánítási szabadságának </w:t>
      </w:r>
      <w:r>
        <w:rPr>
          <w:rFonts w:ascii="Times New Roman" w:hAnsi="Times New Roman" w:cs="Times New Roman"/>
          <w:sz w:val="24"/>
          <w:szCs w:val="24"/>
        </w:rPr>
        <w:t xml:space="preserve">és nem sajtószabadságának </w:t>
      </w:r>
      <w:r w:rsidRPr="00DF2FEA">
        <w:rPr>
          <w:rFonts w:ascii="Times New Roman" w:hAnsi="Times New Roman" w:cs="Times New Roman"/>
          <w:sz w:val="24"/>
          <w:szCs w:val="24"/>
        </w:rPr>
        <w:t>korlátozhatósága volt kérdéses, tehát az ezen alapjoghoz kapcsolódó elvek szerint bírálható el az ügy.</w:t>
      </w:r>
    </w:p>
    <w:p w14:paraId="700B1448" w14:textId="57E32009" w:rsidR="003E1648" w:rsidRPr="003E1648" w:rsidRDefault="003E1648" w:rsidP="00305DFE">
      <w:pPr>
        <w:spacing w:after="100" w:afterAutospacing="1" w:line="240" w:lineRule="auto"/>
        <w:jc w:val="both"/>
        <w:rPr>
          <w:rFonts w:ascii="Times New Roman" w:eastAsia="Times New Roman" w:hAnsi="Times New Roman" w:cs="Times New Roman"/>
          <w:sz w:val="24"/>
          <w:szCs w:val="24"/>
          <w:lang w:eastAsia="hu-HU"/>
        </w:rPr>
      </w:pPr>
      <w:r w:rsidRPr="003E1648">
        <w:rPr>
          <w:rFonts w:ascii="Times New Roman" w:eastAsia="Times New Roman" w:hAnsi="Times New Roman" w:cs="Times New Roman"/>
          <w:color w:val="000000"/>
          <w:sz w:val="24"/>
          <w:szCs w:val="24"/>
          <w:lang w:eastAsia="hu-HU"/>
        </w:rPr>
        <w:t xml:space="preserve">Kreatív megoldás a csapattól, hogy különvéleményt, illetve párhuzamos indoklást is szerkesztett a határozatába, azonban a különvélemény kapcsán szintén aggályok merültek fel bennünk. Nem osztjuk azt a nézetet, mely szerint a Facebook saját jogon való véleménynyilvánításhoz való joga, illetve az ahhoz társuló alkotmányos védelem olyan erős lenne, hogy egy természetes személy alapvető joga erre hivatkozva korlátozható. Azzal pedig </w:t>
      </w:r>
      <w:r w:rsidRPr="003E1648">
        <w:rPr>
          <w:rFonts w:ascii="Times New Roman" w:eastAsia="Times New Roman" w:hAnsi="Times New Roman" w:cs="Times New Roman"/>
          <w:color w:val="000000"/>
          <w:sz w:val="24"/>
          <w:szCs w:val="24"/>
          <w:lang w:eastAsia="hu-HU"/>
        </w:rPr>
        <w:lastRenderedPageBreak/>
        <w:t xml:space="preserve">főként nem értünk egyet, hogy valamely jogi személy üzleti érdekeire hivatkozva szabadon korlátozhatja a szólásszabadságot. Véleményünk szerinti sokkal inkább a Facebook vállalkozási szabadsághoz való jogának érvényesülése lehet kérdéses egy hírnevet csorbító bejegyzés törlésének jogszerűsége kapcsán, nem pedig a szólásszabadsághoz való joga. Ezen utóbbi csak azt jelenti, hogy saját maga, a saját oldalán </w:t>
      </w:r>
      <w:proofErr w:type="spellStart"/>
      <w:r w:rsidRPr="003E1648">
        <w:rPr>
          <w:rFonts w:ascii="Times New Roman" w:eastAsia="Times New Roman" w:hAnsi="Times New Roman" w:cs="Times New Roman"/>
          <w:color w:val="000000"/>
          <w:sz w:val="24"/>
          <w:szCs w:val="24"/>
          <w:lang w:eastAsia="hu-HU"/>
        </w:rPr>
        <w:t>közzétehet</w:t>
      </w:r>
      <w:proofErr w:type="spellEnd"/>
      <w:r w:rsidRPr="003E1648">
        <w:rPr>
          <w:rFonts w:ascii="Times New Roman" w:eastAsia="Times New Roman" w:hAnsi="Times New Roman" w:cs="Times New Roman"/>
          <w:color w:val="000000"/>
          <w:sz w:val="24"/>
          <w:szCs w:val="24"/>
          <w:lang w:eastAsia="hu-HU"/>
        </w:rPr>
        <w:t xml:space="preserve"> olyan bejegyzéseket, amilyeneket szeretne (természetesen tekintetbe véve ezen jog korlátait), az azonban, hogy más felhasználók mit tesznek közzé a saját oldalukon</w:t>
      </w:r>
      <w:r w:rsidR="00DF2FEA">
        <w:rPr>
          <w:rFonts w:ascii="Times New Roman" w:eastAsia="Times New Roman" w:hAnsi="Times New Roman" w:cs="Times New Roman"/>
          <w:color w:val="000000"/>
          <w:sz w:val="24"/>
          <w:szCs w:val="24"/>
          <w:lang w:eastAsia="hu-HU"/>
        </w:rPr>
        <w:t>,</w:t>
      </w:r>
      <w:r w:rsidRPr="003E1648">
        <w:rPr>
          <w:rFonts w:ascii="Times New Roman" w:eastAsia="Times New Roman" w:hAnsi="Times New Roman" w:cs="Times New Roman"/>
          <w:color w:val="000000"/>
          <w:sz w:val="24"/>
          <w:szCs w:val="24"/>
          <w:lang w:eastAsia="hu-HU"/>
        </w:rPr>
        <w:t xml:space="preserve"> nem a Facebook szólásszabadsághoz való jogához tartozik, így erre hivatkozva nem is törölhet semmiféle ilyen tartalmat.   </w:t>
      </w:r>
    </w:p>
    <w:p w14:paraId="7415F9C0" w14:textId="4D41D2C0" w:rsidR="003E1648" w:rsidRDefault="003E1648" w:rsidP="00DF2FEA">
      <w:pPr>
        <w:spacing w:after="100" w:afterAutospacing="1" w:line="240" w:lineRule="auto"/>
        <w:rPr>
          <w:rFonts w:ascii="Times New Roman" w:eastAsia="Times New Roman" w:hAnsi="Times New Roman" w:cs="Times New Roman"/>
          <w:sz w:val="24"/>
          <w:szCs w:val="24"/>
          <w:lang w:eastAsia="hu-HU"/>
        </w:rPr>
      </w:pPr>
    </w:p>
    <w:p w14:paraId="3BF7BE19" w14:textId="77777777" w:rsidR="00302A82" w:rsidRDefault="00302A82" w:rsidP="00302A82">
      <w:pPr>
        <w:spacing w:before="120" w:after="240"/>
        <w:rPr>
          <w:i/>
          <w:iCs/>
        </w:rPr>
      </w:pPr>
      <w:r>
        <w:rPr>
          <w:rFonts w:ascii="Times New Roman" w:eastAsia="Times New Roman" w:hAnsi="Times New Roman" w:cs="Times New Roman"/>
          <w:i/>
          <w:iCs/>
          <w:color w:val="000000"/>
          <w:sz w:val="24"/>
          <w:szCs w:val="24"/>
          <w:lang w:eastAsia="hu-HU"/>
        </w:rPr>
        <w:t>DE ÁJK csapata: Bereczky Bence, Győri Ágoston, Karácsony Roxána, Szondi Evelin</w:t>
      </w:r>
    </w:p>
    <w:p w14:paraId="713EF87F" w14:textId="77777777" w:rsidR="00302A82" w:rsidRPr="003E1648" w:rsidRDefault="00302A82" w:rsidP="00DF2FEA">
      <w:pPr>
        <w:spacing w:after="100" w:afterAutospacing="1" w:line="240" w:lineRule="auto"/>
        <w:rPr>
          <w:rFonts w:ascii="Times New Roman" w:eastAsia="Times New Roman" w:hAnsi="Times New Roman" w:cs="Times New Roman"/>
          <w:sz w:val="24"/>
          <w:szCs w:val="24"/>
          <w:lang w:eastAsia="hu-HU"/>
        </w:rPr>
      </w:pPr>
    </w:p>
    <w:sectPr w:rsidR="00302A82" w:rsidRPr="003E1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48"/>
    <w:rsid w:val="001B49A5"/>
    <w:rsid w:val="00302A82"/>
    <w:rsid w:val="00305DFE"/>
    <w:rsid w:val="003E1648"/>
    <w:rsid w:val="009D4C81"/>
    <w:rsid w:val="00BD2B2B"/>
    <w:rsid w:val="00DF2FEA"/>
    <w:rsid w:val="00F446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4EE5"/>
  <w15:chartTrackingRefBased/>
  <w15:docId w15:val="{F6500824-9AE9-4D0E-8AF3-24017A4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3E1648"/>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6362">
      <w:bodyDiv w:val="1"/>
      <w:marLeft w:val="0"/>
      <w:marRight w:val="0"/>
      <w:marTop w:val="0"/>
      <w:marBottom w:val="0"/>
      <w:divBdr>
        <w:top w:val="none" w:sz="0" w:space="0" w:color="auto"/>
        <w:left w:val="none" w:sz="0" w:space="0" w:color="auto"/>
        <w:bottom w:val="none" w:sz="0" w:space="0" w:color="auto"/>
        <w:right w:val="none" w:sz="0" w:space="0" w:color="auto"/>
      </w:divBdr>
    </w:div>
    <w:div w:id="1358893202">
      <w:bodyDiv w:val="1"/>
      <w:marLeft w:val="0"/>
      <w:marRight w:val="0"/>
      <w:marTop w:val="0"/>
      <w:marBottom w:val="0"/>
      <w:divBdr>
        <w:top w:val="none" w:sz="0" w:space="0" w:color="auto"/>
        <w:left w:val="none" w:sz="0" w:space="0" w:color="auto"/>
        <w:bottom w:val="none" w:sz="0" w:space="0" w:color="auto"/>
        <w:right w:val="none" w:sz="0" w:space="0" w:color="auto"/>
      </w:divBdr>
    </w:div>
    <w:div w:id="15885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7429</Characters>
  <Application>Microsoft Office Word</Application>
  <DocSecurity>0</DocSecurity>
  <Lines>103</Lines>
  <Paragraphs>17</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Flóra Fazekas</dc:creator>
  <cp:keywords/>
  <dc:description/>
  <cp:lastModifiedBy>Flóra Fazekas</cp:lastModifiedBy>
  <cp:revision>2</cp:revision>
  <dcterms:created xsi:type="dcterms:W3CDTF">2021-10-15T18:23:00Z</dcterms:created>
  <dcterms:modified xsi:type="dcterms:W3CDTF">2021-10-15T18:23:00Z</dcterms:modified>
</cp:coreProperties>
</file>