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BD8" w14:textId="77777777" w:rsidR="00814283" w:rsidRDefault="00814283" w:rsidP="00814283">
      <w:pPr>
        <w:pStyle w:val="NormlWeb"/>
        <w:spacing w:before="0" w:beforeAutospacing="0" w:after="120" w:afterAutospacing="0"/>
        <w:jc w:val="center"/>
        <w:rPr>
          <w:b/>
          <w:bCs/>
          <w:color w:val="000000"/>
        </w:rPr>
      </w:pPr>
    </w:p>
    <w:p w14:paraId="50A6CC12" w14:textId="77777777" w:rsidR="00814283" w:rsidRDefault="00814283" w:rsidP="00814283">
      <w:pPr>
        <w:pStyle w:val="NormlWeb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Debreceni Egyetem csapatának véleménye </w:t>
      </w:r>
    </w:p>
    <w:p w14:paraId="3F119EB6" w14:textId="21EDCE80" w:rsidR="00814283" w:rsidRDefault="00814283" w:rsidP="00814283">
      <w:pPr>
        <w:pStyle w:val="NormlWeb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a Pázmány Péter Katolikus Egyetem csapata által készített </w:t>
      </w:r>
      <w:r w:rsidR="00705DCB">
        <w:rPr>
          <w:b/>
          <w:bCs/>
          <w:color w:val="000000"/>
        </w:rPr>
        <w:t>tervezetről</w:t>
      </w:r>
    </w:p>
    <w:p w14:paraId="1BFC2898" w14:textId="77777777" w:rsidR="00814283" w:rsidRDefault="00814283" w:rsidP="00814283">
      <w:pPr>
        <w:pStyle w:val="NormlWeb"/>
        <w:spacing w:before="240" w:beforeAutospacing="0" w:after="120" w:afterAutospacing="0"/>
        <w:jc w:val="both"/>
        <w:rPr>
          <w:color w:val="000000"/>
        </w:rPr>
      </w:pPr>
    </w:p>
    <w:p w14:paraId="22027327" w14:textId="5A865D11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 xml:space="preserve">A Pázmány Péter Katolikus Egyetem csapata a </w:t>
      </w:r>
      <w:proofErr w:type="spellStart"/>
      <w:r>
        <w:rPr>
          <w:color w:val="000000"/>
        </w:rPr>
        <w:t>Nahátszentpéteri</w:t>
      </w:r>
      <w:proofErr w:type="spellEnd"/>
      <w:r>
        <w:rPr>
          <w:color w:val="000000"/>
        </w:rPr>
        <w:t xml:space="preserve"> Törvényszék és a </w:t>
      </w:r>
      <w:proofErr w:type="spellStart"/>
      <w:r>
        <w:rPr>
          <w:color w:val="000000"/>
        </w:rPr>
        <w:t>Dehátszentpéteri</w:t>
      </w:r>
      <w:proofErr w:type="spellEnd"/>
      <w:r>
        <w:rPr>
          <w:color w:val="000000"/>
        </w:rPr>
        <w:t xml:space="preserve"> Ítélőtábla </w:t>
      </w:r>
      <w:r w:rsidR="00750965">
        <w:rPr>
          <w:color w:val="000000"/>
        </w:rPr>
        <w:t>ítéletét (utóbbit a rendelkező részben tévesen végzésnek nevezve)</w:t>
      </w:r>
      <w:r>
        <w:rPr>
          <w:color w:val="000000"/>
        </w:rPr>
        <w:t xml:space="preserve"> alaptörvény-ellenesnek minősítette, és megsemmisítette azokat. Mi is hasonló módon megsemmisítettük az ítéleteket, de egészen más indokból, más szempontból megközelítve az alapjogi problémát. </w:t>
      </w:r>
    </w:p>
    <w:p w14:paraId="0276C8AF" w14:textId="79E982A9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>Először is a határozatokkal szemben támasztott formai és stilisztikai szempontokról szeretnénk szót ejteni. A határozatban a rendelkező rész több pontja is I. sorszámmal szerepel, továbbá az alapeljárás nem került ismertetésre. (Megjegyeznénk, hogy a betűszín, betűméret, sortáv is eltérő a határozaton belül.) A csapat több helyen szakirodalmi forrásokra hivatkozik az alkotmányjog autentikus forrásaként, ami a magyar Alkotmánybíróság gyakorlatában nem jellemző. A határozat döntő</w:t>
      </w:r>
      <w:r w:rsidR="00750965">
        <w:rPr>
          <w:color w:val="000000"/>
        </w:rPr>
        <w:t xml:space="preserve">en </w:t>
      </w:r>
      <w:r>
        <w:rPr>
          <w:color w:val="000000"/>
        </w:rPr>
        <w:t>nemzetközi példákról és gyakorlatokról szól, amely</w:t>
      </w:r>
      <w:r w:rsidR="00750965">
        <w:rPr>
          <w:color w:val="000000"/>
        </w:rPr>
        <w:t>ek összegyűjtés</w:t>
      </w:r>
      <w:r w:rsidR="007002D9">
        <w:rPr>
          <w:color w:val="000000"/>
        </w:rPr>
        <w:t xml:space="preserve">ébe a csapat </w:t>
      </w:r>
      <w:r w:rsidR="00750965">
        <w:rPr>
          <w:color w:val="000000"/>
        </w:rPr>
        <w:t>bizonyosan nagy munkát</w:t>
      </w:r>
      <w:r>
        <w:rPr>
          <w:color w:val="000000"/>
        </w:rPr>
        <w:t xml:space="preserve"> </w:t>
      </w:r>
      <w:r w:rsidR="007002D9">
        <w:rPr>
          <w:color w:val="000000"/>
        </w:rPr>
        <w:t>fektetett</w:t>
      </w:r>
      <w:r>
        <w:rPr>
          <w:color w:val="000000"/>
        </w:rPr>
        <w:t xml:space="preserve">, de ezzel háttérbe szorították a magyar alkotmányos elvek és gyakorlatok áttekintését, holott az Alkotmánybíróság </w:t>
      </w:r>
      <w:r w:rsidR="007002D9">
        <w:rPr>
          <w:color w:val="000000"/>
        </w:rPr>
        <w:t xml:space="preserve">határozatait </w:t>
      </w:r>
      <w:r>
        <w:rPr>
          <w:color w:val="000000"/>
        </w:rPr>
        <w:t xml:space="preserve">elsősorban </w:t>
      </w:r>
      <w:r w:rsidR="007002D9">
        <w:rPr>
          <w:color w:val="000000"/>
        </w:rPr>
        <w:t>értelemszerűen ezekre</w:t>
      </w:r>
      <w:r>
        <w:rPr>
          <w:color w:val="000000"/>
        </w:rPr>
        <w:t xml:space="preserve"> alapítja. Emiatt mi úgy gondoljuk, hogy a határozatban szűkszavúra sikeredett az érdemi alapjogi érvelés.</w:t>
      </w:r>
    </w:p>
    <w:p w14:paraId="21FD9E7E" w14:textId="034F094D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 xml:space="preserve">A befogadhatósági részben hivatkoznak arra, hogy az alkotmánybírósági felülvizsgálatot az Alaptörvény 28. cikkére tekintettel végzik el. </w:t>
      </w:r>
      <w:r w:rsidR="007002D9">
        <w:rPr>
          <w:color w:val="000000"/>
        </w:rPr>
        <w:t xml:space="preserve">Ez a kijelentés nem egészen érthető, hiszen </w:t>
      </w:r>
      <w:r>
        <w:rPr>
          <w:color w:val="000000"/>
        </w:rPr>
        <w:t>a 28. cikkre nem lehet panaszt alapítani</w:t>
      </w:r>
      <w:r w:rsidR="007002D9">
        <w:rPr>
          <w:color w:val="000000"/>
        </w:rPr>
        <w:t>. E</w:t>
      </w:r>
      <w:r>
        <w:rPr>
          <w:color w:val="000000"/>
        </w:rPr>
        <w:t>llentmondásos is ez a kijelentés a</w:t>
      </w:r>
      <w:r w:rsidR="007002D9">
        <w:rPr>
          <w:color w:val="000000"/>
        </w:rPr>
        <w:t xml:space="preserve"> határozat</w:t>
      </w:r>
      <w:r>
        <w:rPr>
          <w:color w:val="000000"/>
        </w:rPr>
        <w:t xml:space="preserve"> elején, ugyanis a határozat utolsó bekezdésében </w:t>
      </w:r>
      <w:r w:rsidR="007002D9">
        <w:rPr>
          <w:color w:val="000000"/>
        </w:rPr>
        <w:t>épp</w:t>
      </w:r>
      <w:r>
        <w:rPr>
          <w:color w:val="000000"/>
        </w:rPr>
        <w:t xml:space="preserve"> azt </w:t>
      </w:r>
      <w:r w:rsidR="007002D9">
        <w:rPr>
          <w:color w:val="000000"/>
        </w:rPr>
        <w:t>állapítják meg</w:t>
      </w:r>
      <w:r>
        <w:rPr>
          <w:color w:val="000000"/>
        </w:rPr>
        <w:t xml:space="preserve">, hogy </w:t>
      </w:r>
      <w:r w:rsidR="007002D9">
        <w:rPr>
          <w:color w:val="000000"/>
        </w:rPr>
        <w:t xml:space="preserve">az indítvány a 28. cikk vonatkozásában </w:t>
      </w:r>
      <w:r>
        <w:rPr>
          <w:color w:val="000000"/>
        </w:rPr>
        <w:t xml:space="preserve">nem megalapozott, mert </w:t>
      </w:r>
      <w:r w:rsidR="007002D9">
        <w:rPr>
          <w:color w:val="000000"/>
        </w:rPr>
        <w:t xml:space="preserve">a cikk </w:t>
      </w:r>
      <w:r>
        <w:rPr>
          <w:color w:val="000000"/>
        </w:rPr>
        <w:t>nincs összefüggésben a tényállással.</w:t>
      </w:r>
    </w:p>
    <w:p w14:paraId="0B03C718" w14:textId="77777777" w:rsidR="007002D9" w:rsidRDefault="00814283" w:rsidP="00814283">
      <w:pPr>
        <w:pStyle w:val="NormlWeb"/>
        <w:spacing w:before="240" w:beforeAutospacing="0" w:after="120" w:afterAutospacing="0"/>
        <w:jc w:val="both"/>
        <w:rPr>
          <w:color w:val="000000"/>
        </w:rPr>
      </w:pPr>
      <w:r>
        <w:rPr>
          <w:color w:val="000000"/>
        </w:rPr>
        <w:t>A határozatban többször kerül említésre az Emberi Jogok Európai Egyezményének 10. cikke. Ez a cikk az állami szervekkel szemben állít fel követelmény</w:t>
      </w:r>
      <w:r w:rsidR="007002D9">
        <w:rPr>
          <w:color w:val="000000"/>
        </w:rPr>
        <w:t>eket</w:t>
      </w:r>
      <w:r>
        <w:rPr>
          <w:color w:val="000000"/>
        </w:rPr>
        <w:t xml:space="preserve">, </w:t>
      </w:r>
      <w:r w:rsidR="007002D9">
        <w:rPr>
          <w:color w:val="000000"/>
        </w:rPr>
        <w:t xml:space="preserve">elsősorban azt, </w:t>
      </w:r>
      <w:r>
        <w:rPr>
          <w:color w:val="000000"/>
        </w:rPr>
        <w:t>hogy ne avatkozzanak be a véleményalkotás szabadságába és az információk, eszmék megismeréséb</w:t>
      </w:r>
      <w:r w:rsidR="007002D9">
        <w:rPr>
          <w:color w:val="000000"/>
        </w:rPr>
        <w:t>e</w:t>
      </w:r>
      <w:r>
        <w:rPr>
          <w:color w:val="000000"/>
        </w:rPr>
        <w:t xml:space="preserve">, valamint ezek közlésébe. Jelen ügyben a korlátozást azonban nem egy állami szerv, hanem egy magánszervezet valósította meg </w:t>
      </w:r>
      <w:r w:rsidR="007002D9">
        <w:rPr>
          <w:color w:val="000000"/>
        </w:rPr>
        <w:t>–</w:t>
      </w:r>
      <w:r>
        <w:rPr>
          <w:color w:val="000000"/>
        </w:rPr>
        <w:t xml:space="preserve"> amit a csapat a határozatában is megerősít </w:t>
      </w:r>
      <w:r w:rsidR="007002D9">
        <w:rPr>
          <w:color w:val="000000"/>
        </w:rPr>
        <w:t>–,</w:t>
      </w:r>
      <w:r>
        <w:rPr>
          <w:color w:val="000000"/>
        </w:rPr>
        <w:t xml:space="preserve"> így számunkra nem vált világossá, hogy az Emberi Jogok Európai Bíróságának </w:t>
      </w:r>
      <w:r w:rsidR="007002D9">
        <w:rPr>
          <w:color w:val="000000"/>
        </w:rPr>
        <w:t xml:space="preserve">idézett </w:t>
      </w:r>
      <w:r>
        <w:rPr>
          <w:color w:val="000000"/>
        </w:rPr>
        <w:t xml:space="preserve">gyakorlata jelen ügyben miért lenne releváns. </w:t>
      </w:r>
    </w:p>
    <w:p w14:paraId="19B6151B" w14:textId="7BE7CCF4" w:rsidR="00814283" w:rsidRDefault="00814283" w:rsidP="00814283">
      <w:pPr>
        <w:pStyle w:val="NormlWeb"/>
        <w:spacing w:before="240" w:beforeAutospacing="0" w:after="120" w:afterAutospacing="0"/>
        <w:jc w:val="both"/>
      </w:pPr>
      <w:r w:rsidRPr="003266F8">
        <w:rPr>
          <w:color w:val="000000"/>
        </w:rPr>
        <w:t xml:space="preserve">A csapat </w:t>
      </w:r>
      <w:r w:rsidR="003266F8" w:rsidRPr="003266F8">
        <w:rPr>
          <w:color w:val="000000"/>
        </w:rPr>
        <w:t>a mi tervezetünkhöz hasonlóan megállapította</w:t>
      </w:r>
      <w:r w:rsidRPr="003266F8">
        <w:rPr>
          <w:color w:val="000000"/>
        </w:rPr>
        <w:t xml:space="preserve"> a véleménynyilvánítás szabadságá</w:t>
      </w:r>
      <w:r w:rsidR="003266F8" w:rsidRPr="003266F8">
        <w:rPr>
          <w:color w:val="000000"/>
        </w:rPr>
        <w:t>nak sérelmét</w:t>
      </w:r>
      <w:r w:rsidRPr="003266F8">
        <w:rPr>
          <w:color w:val="000000"/>
        </w:rPr>
        <w:t>, azonban nem jut</w:t>
      </w:r>
      <w:r w:rsidR="003266F8" w:rsidRPr="003266F8">
        <w:rPr>
          <w:color w:val="000000"/>
        </w:rPr>
        <w:t>ott</w:t>
      </w:r>
      <w:r w:rsidRPr="003266F8">
        <w:rPr>
          <w:color w:val="000000"/>
        </w:rPr>
        <w:t xml:space="preserve"> el a véleményszabadság horizontális hatályának kimondásáig.</w:t>
      </w:r>
      <w:r w:rsidR="003266F8">
        <w:rPr>
          <w:color w:val="000000"/>
        </w:rPr>
        <w:t xml:space="preserve"> Véleményünk szerint ez elengedhetetlen lett volna, hiszen másképp nem igazolható, hogy az egyébként államra kötelezettséget hárító alapjog sérelme miért állapítható meg magánjogi jogalanyok közötti jogviszonyban.</w:t>
      </w:r>
    </w:p>
    <w:p w14:paraId="7954624E" w14:textId="1EE118D0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 xml:space="preserve">A döntés részletesen </w:t>
      </w:r>
      <w:r w:rsidR="007002D9">
        <w:rPr>
          <w:color w:val="000000"/>
        </w:rPr>
        <w:t>kitér</w:t>
      </w:r>
      <w:r>
        <w:rPr>
          <w:color w:val="000000"/>
        </w:rPr>
        <w:t xml:space="preserve"> a névtelen internetes kommentek megítélésér</w:t>
      </w:r>
      <w:r w:rsidR="007002D9">
        <w:rPr>
          <w:color w:val="000000"/>
        </w:rPr>
        <w:t>e</w:t>
      </w:r>
      <w:r>
        <w:rPr>
          <w:color w:val="000000"/>
        </w:rPr>
        <w:t>, azonban szerintünk a</w:t>
      </w:r>
      <w:r w:rsidR="007002D9">
        <w:rPr>
          <w:color w:val="000000"/>
        </w:rPr>
        <w:t xml:space="preserve"> jelen</w:t>
      </w:r>
      <w:r>
        <w:rPr>
          <w:color w:val="000000"/>
        </w:rPr>
        <w:t xml:space="preserve"> ügyben nem volt </w:t>
      </w:r>
      <w:r w:rsidR="007002D9">
        <w:rPr>
          <w:color w:val="000000"/>
        </w:rPr>
        <w:t>releváns</w:t>
      </w:r>
      <w:r>
        <w:rPr>
          <w:color w:val="000000"/>
        </w:rPr>
        <w:t xml:space="preserve"> ennek vizsgálata, ugyanis </w:t>
      </w:r>
      <w:r w:rsidR="007002D9">
        <w:rPr>
          <w:color w:val="000000"/>
        </w:rPr>
        <w:t xml:space="preserve">az ügyben </w:t>
      </w:r>
      <w:r>
        <w:rPr>
          <w:color w:val="000000"/>
        </w:rPr>
        <w:t xml:space="preserve">nem arról volt szó, hogy a Facebookon megjelent poszthoz anonim jogsértő komment érkezett volna és kérdésként merült volna fel, hogy a Facebook ezért felelősséget visel-e. Az esetben egy bejegyzésről beszélhetünk, ami nem is minősült </w:t>
      </w:r>
      <w:proofErr w:type="spellStart"/>
      <w:r>
        <w:rPr>
          <w:color w:val="000000"/>
        </w:rPr>
        <w:t>anonimnak</w:t>
      </w:r>
      <w:proofErr w:type="spellEnd"/>
      <w:r>
        <w:rPr>
          <w:color w:val="000000"/>
        </w:rPr>
        <w:t xml:space="preserve">, valamint magára a tartalomszolgáltatóra nézve lehetett sértő a bejegyzés. Felmerül a kérdés, hogy hogyan merülhetett volna fel a Facebook </w:t>
      </w:r>
      <w:r>
        <w:rPr>
          <w:color w:val="000000"/>
        </w:rPr>
        <w:lastRenderedPageBreak/>
        <w:t>jogi felelőssége egy olyan poszt tartalmáért, amelyben rá tesznek negatív véleményt? Szerintünk a csapat ezzel a megközelítéssel az alapügy jogi problémáját tévesen ítélte meg.</w:t>
      </w:r>
    </w:p>
    <w:p w14:paraId="354C3EB3" w14:textId="70777222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>Szintén hibás érvnek tartjuk, hogy a</w:t>
      </w:r>
      <w:r w:rsidR="007002D9">
        <w:rPr>
          <w:color w:val="000000"/>
        </w:rPr>
        <w:t>z indokolás a</w:t>
      </w:r>
      <w:r>
        <w:rPr>
          <w:color w:val="000000"/>
        </w:rPr>
        <w:t xml:space="preserve"> rémhírterjesztés bűncselekményével hozza összefüggésbe a jelen ügyben vitatott posztot, hiszen a rémhírterjesztés lényege a közveszély színhelyén, azzal összegfüggésben való elkövetés, ami sokakban nyugtalanság keltésére alkalmas. Ennek a szóláskorlátozásnak a megjelenése az indoklásban semmiképp nem megalapozott, hiszen</w:t>
      </w:r>
      <w:r w:rsidR="007002D9">
        <w:rPr>
          <w:color w:val="000000"/>
        </w:rPr>
        <w:t xml:space="preserve"> a konkrét ügyben</w:t>
      </w:r>
      <w:r>
        <w:rPr>
          <w:color w:val="000000"/>
        </w:rPr>
        <w:t xml:space="preserve"> nem beszélhetünk egyik fent említett feltétel megvalósulásáról sem.</w:t>
      </w:r>
    </w:p>
    <w:p w14:paraId="490E3650" w14:textId="49FB39AC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 xml:space="preserve">A határozat [38] bekezdésében a csapat az alábbiak szerint fogalmaz: </w:t>
      </w:r>
      <w:r w:rsidR="007002D9">
        <w:rPr>
          <w:color w:val="000000"/>
        </w:rPr>
        <w:t>„</w:t>
      </w:r>
      <w:r>
        <w:rPr>
          <w:color w:val="000000"/>
        </w:rPr>
        <w:t xml:space="preserve">Mivel a közösségi média platform közvetítő szolgáltatónak minősül, az </w:t>
      </w:r>
      <w:proofErr w:type="spellStart"/>
      <w:r>
        <w:rPr>
          <w:color w:val="000000"/>
        </w:rPr>
        <w:t>Ektv</w:t>
      </w:r>
      <w:proofErr w:type="spellEnd"/>
      <w:r>
        <w:rPr>
          <w:color w:val="000000"/>
        </w:rPr>
        <w:t>. 7. §-</w:t>
      </w:r>
      <w:proofErr w:type="spellStart"/>
      <w:r>
        <w:rPr>
          <w:color w:val="000000"/>
        </w:rPr>
        <w:t>ának</w:t>
      </w:r>
      <w:proofErr w:type="spellEnd"/>
      <w:r>
        <w:rPr>
          <w:color w:val="000000"/>
        </w:rPr>
        <w:t xml:space="preserve"> (3) bekezdése alapján a szolgáltatót nem terhelte volna jogi felelősség”. Szeretnénk megjegyezni, hogy az </w:t>
      </w:r>
      <w:proofErr w:type="spellStart"/>
      <w:r>
        <w:rPr>
          <w:color w:val="000000"/>
        </w:rPr>
        <w:t>Ektv</w:t>
      </w:r>
      <w:proofErr w:type="spellEnd"/>
      <w:r>
        <w:rPr>
          <w:color w:val="000000"/>
        </w:rPr>
        <w:t>. alapján az Alkotmánybíróság nem hozhatna döntést konkrét ügybe, ugyanis az a rendesbíróságokra tartozó jogalkalmazásnak minősül.</w:t>
      </w:r>
    </w:p>
    <w:p w14:paraId="41467A5F" w14:textId="729AC304" w:rsidR="00814283" w:rsidRDefault="007002D9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>A tervezet megállapította</w:t>
      </w:r>
      <w:r w:rsidR="00814283">
        <w:rPr>
          <w:color w:val="000000"/>
        </w:rPr>
        <w:t xml:space="preserve">, hogy az </w:t>
      </w:r>
      <w:r>
        <w:rPr>
          <w:color w:val="000000"/>
        </w:rPr>
        <w:t>i</w:t>
      </w:r>
      <w:r w:rsidR="00814283">
        <w:rPr>
          <w:color w:val="000000"/>
        </w:rPr>
        <w:t xml:space="preserve">ndítványozó hátrányos megkülönböztetésben részesült, ezáltal </w:t>
      </w:r>
      <w:proofErr w:type="gramStart"/>
      <w:r w:rsidR="00814283">
        <w:rPr>
          <w:color w:val="000000"/>
        </w:rPr>
        <w:t>sérült  az</w:t>
      </w:r>
      <w:proofErr w:type="gramEnd"/>
      <w:r w:rsidR="00814283">
        <w:rPr>
          <w:color w:val="000000"/>
        </w:rPr>
        <w:t xml:space="preserve"> egyenlő bánásmódhoz való joga</w:t>
      </w:r>
      <w:r w:rsidR="006356FC">
        <w:rPr>
          <w:color w:val="000000"/>
        </w:rPr>
        <w:t>. Az indokolásból</w:t>
      </w:r>
      <w:r w:rsidR="00814283">
        <w:rPr>
          <w:color w:val="000000"/>
        </w:rPr>
        <w:t xml:space="preserve"> azonban </w:t>
      </w:r>
      <w:r w:rsidR="006356FC">
        <w:rPr>
          <w:color w:val="000000"/>
        </w:rPr>
        <w:t xml:space="preserve">nem derül ki, </w:t>
      </w:r>
      <w:r w:rsidR="00814283">
        <w:rPr>
          <w:color w:val="000000"/>
        </w:rPr>
        <w:t xml:space="preserve">hogy mire alapozták ezen döntésüket. </w:t>
      </w:r>
      <w:r w:rsidR="006356FC">
        <w:rPr>
          <w:color w:val="000000"/>
        </w:rPr>
        <w:t>A mi tervezetünk</w:t>
      </w:r>
      <w:r w:rsidR="00814283">
        <w:rPr>
          <w:color w:val="000000"/>
        </w:rPr>
        <w:t xml:space="preserve"> ezen jog tekintetében más gondolatmenetet követ</w:t>
      </w:r>
      <w:r w:rsidR="006356FC">
        <w:rPr>
          <w:color w:val="000000"/>
        </w:rPr>
        <w:t xml:space="preserve">ett, </w:t>
      </w:r>
      <w:r w:rsidR="00814283">
        <w:rPr>
          <w:color w:val="000000"/>
        </w:rPr>
        <w:t xml:space="preserve">és az alkotmányjogi panaszt </w:t>
      </w:r>
      <w:r w:rsidR="006356FC">
        <w:rPr>
          <w:color w:val="000000"/>
        </w:rPr>
        <w:t xml:space="preserve">e tekintetben </w:t>
      </w:r>
      <w:r w:rsidR="00814283">
        <w:rPr>
          <w:color w:val="000000"/>
        </w:rPr>
        <w:t xml:space="preserve">elutasítottuk. A hátrányos megkülönböztetés megállapításához szükséges egy úgynevezett védett tulajdonság megléte, valamint az </w:t>
      </w:r>
      <w:r w:rsidR="006356FC">
        <w:rPr>
          <w:color w:val="000000"/>
        </w:rPr>
        <w:t>i</w:t>
      </w:r>
      <w:r w:rsidR="00814283">
        <w:rPr>
          <w:color w:val="000000"/>
        </w:rPr>
        <w:t>ndítványozóval összehasonlítható helyzetben lévő személy</w:t>
      </w:r>
      <w:r w:rsidR="006356FC">
        <w:rPr>
          <w:color w:val="000000"/>
        </w:rPr>
        <w:t>(</w:t>
      </w:r>
      <w:proofErr w:type="spellStart"/>
      <w:r w:rsidR="006356FC">
        <w:rPr>
          <w:color w:val="000000"/>
        </w:rPr>
        <w:t>ek</w:t>
      </w:r>
      <w:proofErr w:type="spellEnd"/>
      <w:r w:rsidR="006356FC">
        <w:rPr>
          <w:color w:val="000000"/>
        </w:rPr>
        <w:t>)</w:t>
      </w:r>
      <w:r w:rsidR="00814283">
        <w:rPr>
          <w:color w:val="000000"/>
        </w:rPr>
        <w:t xml:space="preserve"> vagy szervezet megjelölése. </w:t>
      </w:r>
      <w:r w:rsidR="006356FC">
        <w:rPr>
          <w:color w:val="000000"/>
        </w:rPr>
        <w:t>A tervezet e</w:t>
      </w:r>
      <w:r w:rsidR="00814283">
        <w:rPr>
          <w:color w:val="000000"/>
        </w:rPr>
        <w:t xml:space="preserve"> feltételek </w:t>
      </w:r>
      <w:r w:rsidR="006356FC">
        <w:rPr>
          <w:color w:val="000000"/>
        </w:rPr>
        <w:t>teljesülését nem vizsgálta.</w:t>
      </w:r>
    </w:p>
    <w:p w14:paraId="47D16A26" w14:textId="30587AD5" w:rsidR="00814283" w:rsidRDefault="00814283" w:rsidP="00814283">
      <w:pPr>
        <w:pStyle w:val="NormlWeb"/>
        <w:spacing w:before="240" w:beforeAutospacing="0" w:after="120" w:afterAutospacing="0"/>
        <w:jc w:val="both"/>
      </w:pPr>
      <w:r>
        <w:rPr>
          <w:color w:val="000000"/>
        </w:rPr>
        <w:t>A határozatban a</w:t>
      </w:r>
      <w:r w:rsidR="007F0E82">
        <w:rPr>
          <w:color w:val="000000"/>
        </w:rPr>
        <w:t>z Alaptörvény</w:t>
      </w:r>
      <w:r>
        <w:rPr>
          <w:color w:val="000000"/>
        </w:rPr>
        <w:t xml:space="preserve"> XXVIII. cikk</w:t>
      </w:r>
      <w:r w:rsidR="007F0E82">
        <w:rPr>
          <w:color w:val="000000"/>
        </w:rPr>
        <w:t>év</w:t>
      </w:r>
      <w:r>
        <w:rPr>
          <w:color w:val="000000"/>
        </w:rPr>
        <w:t>el kapcsolatban tesznek egy olyan állítást, hogy mind polgári, mind büntetőügyekben utolsó jogorvoslati lehetőségként van lehetőség az Alkotmánybírósághoz fordulni</w:t>
      </w:r>
      <w:r w:rsidR="007F0E82">
        <w:rPr>
          <w:color w:val="000000"/>
        </w:rPr>
        <w:t>, így az alkotmányjogi panaszt is bírói jogorvoslatnak kell tekinteni</w:t>
      </w:r>
      <w:r>
        <w:rPr>
          <w:color w:val="000000"/>
        </w:rPr>
        <w:t xml:space="preserve">. Ez az állítás szerintünk helytelen, ugyanis az alkotmányjogi panaszt nem lehet hatékony jogorvoslatnak tekinteni, hiszen </w:t>
      </w:r>
      <w:r w:rsidR="007F0E82">
        <w:rPr>
          <w:color w:val="000000"/>
        </w:rPr>
        <w:t xml:space="preserve">az Alkotmánybíróság </w:t>
      </w:r>
      <w:r>
        <w:rPr>
          <w:color w:val="000000"/>
        </w:rPr>
        <w:t xml:space="preserve">csak alapjogi kérdést bírálhat el, a jogalkalmazás törvényességét nem. Ezen cikkel kapcsolatban a tisztességes eljárás sérelmét is vizsgálja a csapat, amit szerintünk nem kellett volna, ugyanis az </w:t>
      </w:r>
      <w:r w:rsidR="007F0E82">
        <w:rPr>
          <w:color w:val="000000"/>
        </w:rPr>
        <w:t>i</w:t>
      </w:r>
      <w:r>
        <w:rPr>
          <w:color w:val="000000"/>
        </w:rPr>
        <w:t>ndítványozó ezen jog sérelmére nem hivatkozott.</w:t>
      </w:r>
    </w:p>
    <w:p w14:paraId="47E21343" w14:textId="657D66DF" w:rsidR="00814283" w:rsidRDefault="00814283" w:rsidP="00814283">
      <w:pPr>
        <w:pStyle w:val="NormlWeb"/>
        <w:spacing w:before="0" w:beforeAutospacing="0" w:after="120" w:afterAutospacing="0"/>
        <w:jc w:val="both"/>
      </w:pPr>
      <w:r>
        <w:rPr>
          <w:color w:val="000000"/>
        </w:rPr>
        <w:t>Utolsóként az ultima ratio-</w:t>
      </w:r>
      <w:proofErr w:type="spellStart"/>
      <w:r>
        <w:rPr>
          <w:color w:val="000000"/>
        </w:rPr>
        <w:t>ról</w:t>
      </w:r>
      <w:proofErr w:type="spellEnd"/>
      <w:r>
        <w:rPr>
          <w:color w:val="000000"/>
        </w:rPr>
        <w:t xml:space="preserve"> szóló okfejtésről szeretnénk megjegyzést tenni. Véleményünk szerint egy </w:t>
      </w:r>
      <w:r w:rsidR="007F0E82">
        <w:rPr>
          <w:color w:val="000000"/>
        </w:rPr>
        <w:t>a</w:t>
      </w:r>
      <w:r>
        <w:rPr>
          <w:color w:val="000000"/>
        </w:rPr>
        <w:t xml:space="preserve">lkotmánybírósági határozatban nincs funkciója egy ilyen fajta gondolatmenetnek, valamint úgy érezzük, hogy a csapat félreértette a tényállásban az ultima ratio említését, ugyanis </w:t>
      </w:r>
      <w:r w:rsidR="007F0E82">
        <w:rPr>
          <w:color w:val="000000"/>
        </w:rPr>
        <w:t>ezzel az indítványozó</w:t>
      </w:r>
      <w:r>
        <w:rPr>
          <w:color w:val="000000"/>
        </w:rPr>
        <w:t xml:space="preserve"> arra </w:t>
      </w:r>
      <w:r w:rsidR="007F0E82">
        <w:rPr>
          <w:color w:val="000000"/>
        </w:rPr>
        <w:t>utalt</w:t>
      </w:r>
      <w:r>
        <w:rPr>
          <w:color w:val="000000"/>
        </w:rPr>
        <w:t xml:space="preserve">, hogy nem volt más </w:t>
      </w:r>
      <w:r w:rsidR="007F0E82">
        <w:rPr>
          <w:color w:val="000000"/>
        </w:rPr>
        <w:t xml:space="preserve">jogorvoslati </w:t>
      </w:r>
      <w:r>
        <w:rPr>
          <w:color w:val="000000"/>
        </w:rPr>
        <w:t>lehetősége</w:t>
      </w:r>
      <w:r w:rsidR="00F87400">
        <w:rPr>
          <w:color w:val="000000"/>
        </w:rPr>
        <w:t>.</w:t>
      </w:r>
    </w:p>
    <w:p w14:paraId="4709DAEA" w14:textId="77777777" w:rsidR="00814283" w:rsidRDefault="00814283" w:rsidP="00814283">
      <w:pPr>
        <w:pStyle w:val="Norm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14:paraId="5B0B8E38" w14:textId="262AFB54" w:rsidR="00814283" w:rsidRDefault="00814283" w:rsidP="00814283">
      <w:pPr>
        <w:spacing w:after="120"/>
      </w:pPr>
    </w:p>
    <w:p w14:paraId="76632044" w14:textId="77777777" w:rsidR="0007194E" w:rsidRDefault="0007194E" w:rsidP="0007194E">
      <w:pPr>
        <w:spacing w:before="120" w:after="240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 ÁJK csapata: Bereczky Bence, Győri Ágoston, Karácsony Roxána, Szondi Evelin</w:t>
      </w:r>
    </w:p>
    <w:p w14:paraId="59F88F05" w14:textId="77777777" w:rsidR="0007194E" w:rsidRDefault="0007194E" w:rsidP="00814283">
      <w:pPr>
        <w:spacing w:after="120"/>
      </w:pPr>
    </w:p>
    <w:sectPr w:rsidR="0007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3"/>
    <w:rsid w:val="00030F56"/>
    <w:rsid w:val="0007194E"/>
    <w:rsid w:val="003266F8"/>
    <w:rsid w:val="00341A80"/>
    <w:rsid w:val="006356FC"/>
    <w:rsid w:val="007002D9"/>
    <w:rsid w:val="00705DCB"/>
    <w:rsid w:val="00750965"/>
    <w:rsid w:val="007F0E82"/>
    <w:rsid w:val="00814283"/>
    <w:rsid w:val="00EE42E8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5C2"/>
  <w15:chartTrackingRefBased/>
  <w15:docId w15:val="{8A62E06E-BF49-46E4-AD57-AFAB162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EDA6-91BC-40A2-8005-9CCCAB3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Fazekas</dc:creator>
  <cp:keywords/>
  <dc:description/>
  <cp:lastModifiedBy>Flóra Fazekas</cp:lastModifiedBy>
  <cp:revision>3</cp:revision>
  <dcterms:created xsi:type="dcterms:W3CDTF">2021-10-15T18:23:00Z</dcterms:created>
  <dcterms:modified xsi:type="dcterms:W3CDTF">2021-10-15T18:23:00Z</dcterms:modified>
</cp:coreProperties>
</file>