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0699" w14:textId="64319031" w:rsidR="00094A13" w:rsidRDefault="00094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Készítette: </w:t>
      </w:r>
      <w:proofErr w:type="spellStart"/>
      <w:r>
        <w:rPr>
          <w:rFonts w:ascii="Times New Roman" w:hAnsi="Times New Roman" w:cs="Times New Roman"/>
        </w:rPr>
        <w:t>Genda</w:t>
      </w:r>
      <w:proofErr w:type="spellEnd"/>
      <w:r>
        <w:rPr>
          <w:rFonts w:ascii="Times New Roman" w:hAnsi="Times New Roman" w:cs="Times New Roman"/>
        </w:rPr>
        <w:t xml:space="preserve"> Noémi, Karsai Klaudia, Koltai Fanni, Torda Sztella – NKE ÁNTK</w:t>
      </w:r>
    </w:p>
    <w:p w14:paraId="1C15CBFF" w14:textId="77777777" w:rsidR="00094A13" w:rsidRDefault="00094A13">
      <w:pPr>
        <w:rPr>
          <w:rFonts w:ascii="Times New Roman" w:hAnsi="Times New Roman" w:cs="Times New Roman"/>
        </w:rPr>
      </w:pPr>
    </w:p>
    <w:p w14:paraId="2663F6E5" w14:textId="77777777" w:rsidR="00094A13" w:rsidRDefault="00094A13">
      <w:pPr>
        <w:rPr>
          <w:rFonts w:ascii="Times New Roman" w:hAnsi="Times New Roman" w:cs="Times New Roman"/>
        </w:rPr>
      </w:pPr>
    </w:p>
    <w:p w14:paraId="4B730BF5" w14:textId="0B3FB734" w:rsidR="00713B95" w:rsidRDefault="00322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Széchenyi István Egyetem Állam – és Jogtudományi Kar határozattervezetének véleményezése</w:t>
      </w:r>
    </w:p>
    <w:p w14:paraId="62492C92" w14:textId="2C3FB994" w:rsidR="0032243C" w:rsidRDefault="0032243C">
      <w:pPr>
        <w:rPr>
          <w:rFonts w:ascii="Times New Roman" w:hAnsi="Times New Roman" w:cs="Times New Roman"/>
        </w:rPr>
      </w:pPr>
    </w:p>
    <w:p w14:paraId="23BF39C2" w14:textId="218F4D74" w:rsidR="0032243C" w:rsidRPr="0032243C" w:rsidRDefault="0032243C" w:rsidP="0032243C">
      <w:pPr>
        <w:jc w:val="center"/>
        <w:rPr>
          <w:rFonts w:ascii="Times New Roman" w:hAnsi="Times New Roman" w:cs="Times New Roman"/>
          <w:b/>
          <w:bCs/>
        </w:rPr>
      </w:pPr>
      <w:r w:rsidRPr="0032243C">
        <w:rPr>
          <w:rFonts w:ascii="Times New Roman" w:hAnsi="Times New Roman" w:cs="Times New Roman"/>
          <w:b/>
          <w:bCs/>
        </w:rPr>
        <w:t>I. rész</w:t>
      </w:r>
    </w:p>
    <w:p w14:paraId="119B18E2" w14:textId="0616635B" w:rsidR="0032243C" w:rsidRDefault="0032243C" w:rsidP="0032243C">
      <w:pPr>
        <w:jc w:val="center"/>
        <w:rPr>
          <w:rFonts w:ascii="Times New Roman" w:hAnsi="Times New Roman" w:cs="Times New Roman"/>
        </w:rPr>
      </w:pPr>
    </w:p>
    <w:p w14:paraId="23EE57F4" w14:textId="0C409917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Alkotmánybíróság </w:t>
      </w:r>
      <w:proofErr w:type="spellStart"/>
      <w:r>
        <w:rPr>
          <w:rFonts w:ascii="Times New Roman" w:hAnsi="Times New Roman" w:cs="Times New Roman"/>
        </w:rPr>
        <w:t>Dehátszentpéteri</w:t>
      </w:r>
      <w:proofErr w:type="spellEnd"/>
      <w:r>
        <w:rPr>
          <w:rFonts w:ascii="Times New Roman" w:hAnsi="Times New Roman" w:cs="Times New Roman"/>
        </w:rPr>
        <w:t xml:space="preserve"> Ítélőtábla ítéletének helybenhagyásával nem értünk egyet, hiszen a mi értelmezésünkben több ponton alkotmányellenességet állapítottunk meg, melyek eltérnek az említett határozattervezetbe foglalt érveléstől.</w:t>
      </w:r>
    </w:p>
    <w:p w14:paraId="253DC566" w14:textId="4DCA9CD1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70EED1B1" w14:textId="772F198F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2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Alkotmánybíróság határozattervezetéből az általunk legfontosabbnak vélt, eltérést mutató érveket szeretnénk kiemelni.</w:t>
      </w:r>
    </w:p>
    <w:p w14:paraId="64F46ADF" w14:textId="0FB4EAD2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2AA12CCB" w14:textId="15577E80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Véleményünk szerint az Alaptörvényre való hivatkozáskor az üggyel összefüggésben nem releváns alaptörvényi rendelkezéseket is rögzítettek a tervezetben. Ezek közül kiemelnénk a következőket:</w:t>
      </w:r>
    </w:p>
    <w:p w14:paraId="589CB5D6" w14:textId="345F66C7" w:rsidR="0032243C" w:rsidRDefault="0032243C" w:rsidP="00322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XV. cikk (3)-(5) bekezdések, melyekben a nők és férfiak egyenjogúságát, az esélyegyenlőség és társadalmi felzárkózás, valamint a családok, nők, gyermekek, idősek és fogyatékkal élők védelmét deklarálja a jogalkotó, ami jelen eset kapcsán az egyenlő bánásmód követelményével, illetve a véleménynyilvánítás szabadságával nincs összhangban, mely kettő alapjog szerintünk a legfontosabb ebben az ügyben. </w:t>
      </w:r>
    </w:p>
    <w:p w14:paraId="4AF6A1C8" w14:textId="77777777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3ADFF9CD" w14:textId="72A95D0E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4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Ptk. vizsgált rendelkezéseinek egy része helytálló, viszont nézeteink szerint a jogi személy jogképessége, illetve a gazdasági társaságok fogalmának rögzítése az eset kapcsán nem mérvadó.</w:t>
      </w:r>
    </w:p>
    <w:p w14:paraId="6663D566" w14:textId="77777777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5C03FDA6" w14:textId="174FCD03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5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fogyasztóvédelemről szóló 1997. évi CLV. törvényben található rendelkezések is kiemelt jelentőséggel bírnak, mely a határozattervezetből hiányzott. Az indítványozó és a közösségi média szolgáltaltató közt a regisztráció során szerződéses viszony jött létre, ami az általunk véleményezett határozattervezetnek egyik központi elemeként jelenik meg, így hiányosságként említjük, hogy a </w:t>
      </w:r>
      <w:proofErr w:type="spellStart"/>
      <w:proofErr w:type="gramStart"/>
      <w:r>
        <w:rPr>
          <w:rFonts w:ascii="Times New Roman" w:hAnsi="Times New Roman" w:cs="Times New Roman"/>
        </w:rPr>
        <w:t>Fgytv</w:t>
      </w:r>
      <w:proofErr w:type="spellEnd"/>
      <w:r>
        <w:rPr>
          <w:rFonts w:ascii="Times New Roman" w:hAnsi="Times New Roman" w:cs="Times New Roman"/>
        </w:rPr>
        <w:t>.-</w:t>
      </w:r>
      <w:proofErr w:type="spellStart"/>
      <w:proofErr w:type="gramEnd"/>
      <w:r>
        <w:rPr>
          <w:rFonts w:ascii="Times New Roman" w:hAnsi="Times New Roman" w:cs="Times New Roman"/>
        </w:rPr>
        <w:t>hez</w:t>
      </w:r>
      <w:proofErr w:type="spellEnd"/>
      <w:r>
        <w:rPr>
          <w:rFonts w:ascii="Times New Roman" w:hAnsi="Times New Roman" w:cs="Times New Roman"/>
        </w:rPr>
        <w:t xml:space="preserve"> való kapcsolódás nem jelent meg. A 17/A. §-</w:t>
      </w:r>
      <w:proofErr w:type="spellStart"/>
      <w:r>
        <w:rPr>
          <w:rFonts w:ascii="Times New Roman" w:hAnsi="Times New Roman" w:cs="Times New Roman"/>
        </w:rPr>
        <w:t>ban</w:t>
      </w:r>
      <w:proofErr w:type="spellEnd"/>
      <w:r>
        <w:rPr>
          <w:rFonts w:ascii="Times New Roman" w:hAnsi="Times New Roman" w:cs="Times New Roman"/>
        </w:rPr>
        <w:t xml:space="preserve"> foglaltak alapján a vállalatnak kötelessége a hozzá beérkezett panaszról az érintett félnek tájékoztatást nyújtani.</w:t>
      </w:r>
    </w:p>
    <w:p w14:paraId="05FA9A92" w14:textId="4B229C3F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09D0EEF0" w14:textId="781E95F1" w:rsidR="0032243C" w:rsidRDefault="0032243C" w:rsidP="0032243C">
      <w:pPr>
        <w:jc w:val="center"/>
        <w:rPr>
          <w:rFonts w:ascii="Times New Roman" w:hAnsi="Times New Roman" w:cs="Times New Roman"/>
          <w:b/>
          <w:bCs/>
        </w:rPr>
      </w:pPr>
      <w:r w:rsidRPr="0032243C">
        <w:rPr>
          <w:rFonts w:ascii="Times New Roman" w:hAnsi="Times New Roman" w:cs="Times New Roman"/>
          <w:b/>
          <w:bCs/>
        </w:rPr>
        <w:t>II. rész</w:t>
      </w:r>
    </w:p>
    <w:p w14:paraId="152F8E00" w14:textId="77777777" w:rsidR="0032243C" w:rsidRDefault="0032243C" w:rsidP="0032243C">
      <w:pPr>
        <w:rPr>
          <w:rFonts w:ascii="Times New Roman" w:hAnsi="Times New Roman" w:cs="Times New Roman"/>
        </w:rPr>
      </w:pPr>
    </w:p>
    <w:p w14:paraId="486B32B1" w14:textId="6DD3DBCD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6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véleményezett határozattervezetben megjelent, hogy az indítványozó az Ítélőtábla ítélete ellen nyújtott be alkotmányjogi panaszt. Az eljáró ítélőtábla csupán helybenhagyta az alsóbb szintű bíróság ítéletét, tehát véleményünk szerint a törvényszék döntésére is hivatkozni kellett volna a megállapításban. Kiemelnénk még azt a jelentős különbséget, miszerint az általunk alkotott határozattervezetben az alkotmányellenesség főképp alapjogok sérelmében nyilvánul meg, míg a véleményezett tervezetben a meghozott bírói döntésekből következtettek alkotmányellenességre.</w:t>
      </w:r>
    </w:p>
    <w:p w14:paraId="7C66D050" w14:textId="0F529596" w:rsidR="0032243C" w:rsidRDefault="0032243C" w:rsidP="0032243C">
      <w:pPr>
        <w:rPr>
          <w:rFonts w:ascii="Times New Roman" w:hAnsi="Times New Roman" w:cs="Times New Roman"/>
        </w:rPr>
      </w:pPr>
    </w:p>
    <w:p w14:paraId="6E414D2B" w14:textId="367C4464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7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érvelés során felmerült, hogy az indítványozó helytelenül hivatkozott a jogorvoslathoz való jogának megsértésére, viszont szerintünk az eset ultima ratio jellege mindenképp vizsgálandó, hiszen törvényi szabályozás a felhasználó és a közösségi média szolgáltató jogairól és kötelezettségeiről nincsen, így az indítványozó álláspontja a valóságnak megfelel.</w:t>
      </w:r>
    </w:p>
    <w:p w14:paraId="58587868" w14:textId="551023F1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673FBF8C" w14:textId="2EEB6219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lastRenderedPageBreak/>
        <w:t>[</w:t>
      </w:r>
      <w:r>
        <w:rPr>
          <w:rFonts w:ascii="Times New Roman" w:hAnsi="Times New Roman" w:cs="Times New Roman"/>
        </w:rPr>
        <w:t>8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Álláspontunk alapján a terveztben hivatkozott </w:t>
      </w:r>
      <w:proofErr w:type="spellStart"/>
      <w:r>
        <w:rPr>
          <w:rFonts w:ascii="Times New Roman" w:hAnsi="Times New Roman" w:cs="Times New Roman"/>
        </w:rPr>
        <w:t>Ogytv</w:t>
      </w:r>
      <w:proofErr w:type="spellEnd"/>
      <w:r>
        <w:rPr>
          <w:rFonts w:ascii="Times New Roman" w:hAnsi="Times New Roman" w:cs="Times New Roman"/>
        </w:rPr>
        <w:t>. és az egyes házszabályi rendelkezésekről szóló 10/2014. (II.24.) OGY határozat a felek közti viszony vizsgálata során nem alkalmazandó.</w:t>
      </w:r>
    </w:p>
    <w:p w14:paraId="171F2942" w14:textId="51C1E7FD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9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elmúlt rendszer titkosszolgálati tevékenységének feltárásáról és az Állambiztonsági Szolgálatok Történeti levéltára létrehozásáról szóló 2003. évi III. törvény alapján kiemelt közszereplő fogalommeghatározás nem mérvadó, hiszen korábban helyesen rögzítették a Ptk. erre vonatkozó szakaszát, illetve </w:t>
      </w:r>
      <w:proofErr w:type="spellStart"/>
      <w:r>
        <w:rPr>
          <w:rFonts w:ascii="Times New Roman" w:hAnsi="Times New Roman" w:cs="Times New Roman"/>
        </w:rPr>
        <w:t>Schanda</w:t>
      </w:r>
      <w:proofErr w:type="spellEnd"/>
      <w:r>
        <w:rPr>
          <w:rFonts w:ascii="Times New Roman" w:hAnsi="Times New Roman" w:cs="Times New Roman"/>
        </w:rPr>
        <w:t xml:space="preserve"> Balázs alkotmánybíró értelmezését.</w:t>
      </w:r>
    </w:p>
    <w:p w14:paraId="66B891E5" w14:textId="77777777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441DF50C" w14:textId="05154330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10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mesterséges intelligenciával kapcsolatos felvetés az ügy kapcsán nem tartozik az Alkotmánybíróság mérlegelési körébe. Nézeteink szerint fontosabb kiemelni azt a tényt, hogy a vállalkozás nem teljesítette tájékoztatási kötelezettségét többszöri megkeresést követően sem, illetve moderátori felülvizsgálat során (melyet élő emberek végeznek) sem történt indoklás közlése. A szerződés létrejöttekor annak ellenére, hogy a felhasználó elfogadja az általános szerződési feltételeket, a média szolgáltató oldalán is jogok és kötelezettségek keletkeznek a felhasználó irányába. A szolgáltató az általunk már korábban említett kötelezettségeinek nem tett eleget, így szerződésszegésről is beszélhetünk.</w:t>
      </w:r>
    </w:p>
    <w:p w14:paraId="1BBF4C7A" w14:textId="14E5951A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4695C370" w14:textId="0F3AE38C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11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véleményezett tervezetben megjelenik egy olyan állítás, mellyel nézeteink élesen ütköznek, mivel a hátrányos megkülönböztetést nem ismerik el. Úgy gondoljuk, fontos tény, hogy a képviselő profilja ideiglenes felfüggesztésre került, így a közszereplő profilja, ami sajtóorgánumnak is minősül, nem tudja kezelni, így hátrányba kerül politikai versenytársaival szemben. </w:t>
      </w:r>
    </w:p>
    <w:p w14:paraId="01ADC81B" w14:textId="02E25ED2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415C5BCF" w14:textId="0048FE02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12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következő pontokban a közszereplő által közzétett poszt tartalma alapján folyik érvelés, viszont álláspontunk szerint a hangsúlyos kérdések közé a sérült alapjogok tartoznak.</w:t>
      </w:r>
    </w:p>
    <w:p w14:paraId="0B453486" w14:textId="78FCA915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0FEF7FE3" w14:textId="79F6CD5C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13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üzleti érdekről szóló álláspontfoglalás során kiemelt súlyú kérdésként kezelték szolgáltató üzletszerzési és profittermelési gyakorlatát. A mi vizsgálatunk értelmében nem állapítható meg konkrétan a szolgáltató gazdasági helyzete, és hogy az indítványozó által megosztott tartalom milyen hatással volt a szolgáltató üzleti érdekeire, jó hírnevére. Meglátásunk szerint téves az a feltevés, miszerint egyértelműen magyarországi gazdasági társaságként jeleníti meg a közösségi média szolgáltatót és a Ptk. gazdasági társaságokra vonatkozó szabályaival hozza összefüggésbe. </w:t>
      </w:r>
    </w:p>
    <w:p w14:paraId="0C312AE0" w14:textId="55468EF1" w:rsidR="0032243C" w:rsidRDefault="0032243C" w:rsidP="0032243C">
      <w:pPr>
        <w:jc w:val="both"/>
        <w:rPr>
          <w:rFonts w:ascii="Times New Roman" w:hAnsi="Times New Roman" w:cs="Times New Roman"/>
        </w:rPr>
      </w:pPr>
    </w:p>
    <w:p w14:paraId="0EE69CE7" w14:textId="3FC4E9E8" w:rsidR="0032243C" w:rsidRDefault="0032243C" w:rsidP="0032243C">
      <w:pPr>
        <w:jc w:val="both"/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14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Tétlenül állunk a </w:t>
      </w:r>
      <w:r w:rsidRPr="00D163A9"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35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-</w:t>
      </w:r>
      <w:proofErr w:type="spellStart"/>
      <w:proofErr w:type="gramEnd"/>
      <w:r>
        <w:rPr>
          <w:rFonts w:ascii="Times New Roman" w:hAnsi="Times New Roman" w:cs="Times New Roman"/>
        </w:rPr>
        <w:t>ben</w:t>
      </w:r>
      <w:proofErr w:type="spellEnd"/>
      <w:r>
        <w:rPr>
          <w:rFonts w:ascii="Times New Roman" w:hAnsi="Times New Roman" w:cs="Times New Roman"/>
        </w:rPr>
        <w:t xml:space="preserve"> foglalt vállalati vezetői tevékenységi kör fejtegetése, a felmerült minden körülmény figyelembevétele, ésszerű döntéshozatal említése előtt,</w:t>
      </w:r>
      <w:r w:rsidRPr="00322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valamint a gondos gazda példájának beemelésével, mivel a korábbi érvelés központi eleme a mesterséges intelligencia és a tevékenységének személytelensége. </w:t>
      </w:r>
    </w:p>
    <w:p w14:paraId="4D33E507" w14:textId="77777777" w:rsidR="0032243C" w:rsidRDefault="0032243C" w:rsidP="0032243C">
      <w:pPr>
        <w:rPr>
          <w:rFonts w:ascii="Times New Roman" w:hAnsi="Times New Roman" w:cs="Times New Roman"/>
          <w:b/>
          <w:bCs/>
        </w:rPr>
      </w:pPr>
    </w:p>
    <w:p w14:paraId="33B994D7" w14:textId="77777777" w:rsidR="0032243C" w:rsidRDefault="0032243C" w:rsidP="0032243C">
      <w:pPr>
        <w:jc w:val="center"/>
        <w:rPr>
          <w:rFonts w:ascii="Times New Roman" w:hAnsi="Times New Roman" w:cs="Times New Roman"/>
          <w:b/>
          <w:bCs/>
        </w:rPr>
      </w:pPr>
    </w:p>
    <w:p w14:paraId="5BFF2CD1" w14:textId="718FDE42" w:rsidR="0032243C" w:rsidRDefault="0032243C" w:rsidP="0032243C">
      <w:pPr>
        <w:jc w:val="center"/>
        <w:rPr>
          <w:rFonts w:ascii="Times New Roman" w:hAnsi="Times New Roman" w:cs="Times New Roman"/>
          <w:b/>
          <w:bCs/>
        </w:rPr>
      </w:pPr>
      <w:r w:rsidRPr="0032243C">
        <w:rPr>
          <w:rFonts w:ascii="Times New Roman" w:hAnsi="Times New Roman" w:cs="Times New Roman"/>
          <w:b/>
          <w:bCs/>
        </w:rPr>
        <w:t>Konklúzió</w:t>
      </w:r>
    </w:p>
    <w:p w14:paraId="374E883B" w14:textId="5ACD1BD2" w:rsidR="0032243C" w:rsidRDefault="0032243C" w:rsidP="0032243C">
      <w:pPr>
        <w:jc w:val="center"/>
        <w:rPr>
          <w:rFonts w:ascii="Times New Roman" w:hAnsi="Times New Roman" w:cs="Times New Roman"/>
          <w:b/>
          <w:bCs/>
        </w:rPr>
      </w:pPr>
    </w:p>
    <w:p w14:paraId="09B11FB5" w14:textId="6BE7C314" w:rsidR="0032243C" w:rsidRDefault="0032243C" w:rsidP="0032243C">
      <w:pPr>
        <w:rPr>
          <w:rFonts w:ascii="Times New Roman" w:hAnsi="Times New Roman" w:cs="Times New Roman"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15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 helybenhagyásról szóló tervezettel több ízben nem tudtunk egyetérteni. </w:t>
      </w:r>
    </w:p>
    <w:p w14:paraId="3533D499" w14:textId="206FBCE3" w:rsidR="0032243C" w:rsidRDefault="0032243C" w:rsidP="0032243C">
      <w:pPr>
        <w:rPr>
          <w:rFonts w:ascii="Times New Roman" w:hAnsi="Times New Roman" w:cs="Times New Roman"/>
        </w:rPr>
      </w:pPr>
    </w:p>
    <w:p w14:paraId="79AE18FE" w14:textId="16F3E9EC" w:rsidR="0032243C" w:rsidRPr="0032243C" w:rsidRDefault="0032243C" w:rsidP="0032243C">
      <w:pPr>
        <w:rPr>
          <w:rFonts w:ascii="Times New Roman" w:hAnsi="Times New Roman" w:cs="Times New Roman"/>
          <w:b/>
          <w:bCs/>
        </w:rPr>
      </w:pPr>
      <w:r w:rsidRPr="00D163A9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16</w:t>
      </w:r>
      <w:r w:rsidRPr="00D163A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Az ügyet alkotmányellenesnek véljük a fentiekben leírt kiegészítő pontokkal.</w:t>
      </w:r>
    </w:p>
    <w:sectPr w:rsidR="0032243C" w:rsidRPr="0032243C" w:rsidSect="004956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37C2"/>
    <w:multiLevelType w:val="hybridMultilevel"/>
    <w:tmpl w:val="D0446284"/>
    <w:lvl w:ilvl="0" w:tplc="627C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3C"/>
    <w:rsid w:val="00094A13"/>
    <w:rsid w:val="0032243C"/>
    <w:rsid w:val="00495634"/>
    <w:rsid w:val="007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438ED"/>
  <w15:chartTrackingRefBased/>
  <w15:docId w15:val="{B7A11110-3478-6041-8199-27D221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726</Words>
  <Characters>5022</Characters>
  <Application>Microsoft Office Word</Application>
  <DocSecurity>0</DocSecurity>
  <Lines>78</Lines>
  <Paragraphs>17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2021-10-14T18:50:00Z</dcterms:created>
  <dcterms:modified xsi:type="dcterms:W3CDTF">2021-10-15T19:16:00Z</dcterms:modified>
</cp:coreProperties>
</file>