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84A1" w14:textId="77777777" w:rsidR="00F055BD" w:rsidRDefault="00F81BE8" w:rsidP="00F81BE8">
      <w:pPr>
        <w:jc w:val="center"/>
        <w:rPr>
          <w:rFonts w:ascii="Times New Roman" w:hAnsi="Times New Roman" w:cs="Times New Roman"/>
          <w:sz w:val="24"/>
          <w:szCs w:val="24"/>
        </w:rPr>
      </w:pPr>
      <w:r>
        <w:rPr>
          <w:rFonts w:ascii="Times New Roman" w:hAnsi="Times New Roman" w:cs="Times New Roman"/>
          <w:sz w:val="24"/>
          <w:szCs w:val="24"/>
        </w:rPr>
        <w:t xml:space="preserve">Az ELTE ÁJK csapatának véleménye </w:t>
      </w:r>
    </w:p>
    <w:p w14:paraId="246A31A9" w14:textId="5802388D" w:rsidR="00F81BE8" w:rsidRDefault="00F81BE8" w:rsidP="00F81BE8">
      <w:pPr>
        <w:jc w:val="center"/>
        <w:rPr>
          <w:rFonts w:ascii="Times New Roman" w:hAnsi="Times New Roman" w:cs="Times New Roman"/>
          <w:sz w:val="24"/>
          <w:szCs w:val="24"/>
        </w:rPr>
      </w:pPr>
      <w:r>
        <w:rPr>
          <w:rFonts w:ascii="Times New Roman" w:hAnsi="Times New Roman" w:cs="Times New Roman"/>
          <w:sz w:val="24"/>
          <w:szCs w:val="24"/>
        </w:rPr>
        <w:t xml:space="preserve">a </w:t>
      </w:r>
      <w:r w:rsidRPr="00F81BE8">
        <w:rPr>
          <w:rFonts w:ascii="Times New Roman" w:hAnsi="Times New Roman" w:cs="Times New Roman"/>
          <w:sz w:val="24"/>
          <w:szCs w:val="24"/>
        </w:rPr>
        <w:t xml:space="preserve">Széchenyi István Egyetem </w:t>
      </w:r>
      <w:r w:rsidR="00B8132D" w:rsidRPr="00B8132D">
        <w:rPr>
          <w:rFonts w:ascii="Times New Roman" w:hAnsi="Times New Roman" w:cs="Times New Roman"/>
          <w:sz w:val="24"/>
          <w:szCs w:val="24"/>
        </w:rPr>
        <w:t>Deák Ferenc Állam- és Jogtudományi Kar</w:t>
      </w:r>
      <w:r w:rsidR="00917131">
        <w:rPr>
          <w:rFonts w:ascii="Times New Roman" w:hAnsi="Times New Roman" w:cs="Times New Roman"/>
          <w:sz w:val="24"/>
          <w:szCs w:val="24"/>
        </w:rPr>
        <w:t xml:space="preserve">ának </w:t>
      </w:r>
      <w:r>
        <w:rPr>
          <w:rFonts w:ascii="Times New Roman" w:hAnsi="Times New Roman" w:cs="Times New Roman"/>
          <w:sz w:val="24"/>
          <w:szCs w:val="24"/>
        </w:rPr>
        <w:t>határozattervéről</w:t>
      </w:r>
    </w:p>
    <w:p w14:paraId="4AB03B67" w14:textId="65E3C717" w:rsidR="00F81BE8" w:rsidRDefault="00F81BE8" w:rsidP="00F81BE8">
      <w:pPr>
        <w:jc w:val="center"/>
        <w:rPr>
          <w:rFonts w:ascii="Times New Roman" w:hAnsi="Times New Roman" w:cs="Times New Roman"/>
          <w:sz w:val="24"/>
          <w:szCs w:val="24"/>
        </w:rPr>
      </w:pPr>
    </w:p>
    <w:p w14:paraId="3C136DF6" w14:textId="55F82E9E" w:rsidR="00F81BE8" w:rsidRDefault="00A73D85" w:rsidP="00AC2CA9">
      <w:pPr>
        <w:jc w:val="both"/>
        <w:rPr>
          <w:rFonts w:ascii="Times New Roman" w:hAnsi="Times New Roman" w:cs="Times New Roman"/>
          <w:sz w:val="24"/>
          <w:szCs w:val="24"/>
        </w:rPr>
      </w:pPr>
      <w:r>
        <w:rPr>
          <w:rFonts w:ascii="Times New Roman" w:hAnsi="Times New Roman" w:cs="Times New Roman"/>
          <w:sz w:val="24"/>
          <w:szCs w:val="24"/>
        </w:rPr>
        <w:t xml:space="preserve">Álláspontunk szerint a </w:t>
      </w:r>
      <w:r w:rsidRPr="00A73D85">
        <w:rPr>
          <w:rFonts w:ascii="Times New Roman" w:hAnsi="Times New Roman" w:cs="Times New Roman"/>
          <w:sz w:val="24"/>
          <w:szCs w:val="24"/>
        </w:rPr>
        <w:t>SZE - DF - ÁJK</w:t>
      </w:r>
      <w:r>
        <w:rPr>
          <w:rFonts w:ascii="Times New Roman" w:hAnsi="Times New Roman" w:cs="Times New Roman"/>
          <w:sz w:val="24"/>
          <w:szCs w:val="24"/>
        </w:rPr>
        <w:t xml:space="preserve"> határozattervezetének </w:t>
      </w:r>
      <w:r w:rsidR="006A16B8">
        <w:rPr>
          <w:rFonts w:ascii="Times New Roman" w:hAnsi="Times New Roman" w:cs="Times New Roman"/>
          <w:sz w:val="24"/>
          <w:szCs w:val="24"/>
        </w:rPr>
        <w:t>rendelkező része helyes és azzal nagyrészt egyetértünk, ugyanis az alkotmányjogi panasz elutasításának van helye a rendelkezésre álló információk alapján</w:t>
      </w:r>
      <w:r w:rsidR="00AF7A8B">
        <w:rPr>
          <w:rFonts w:ascii="Times New Roman" w:hAnsi="Times New Roman" w:cs="Times New Roman"/>
          <w:sz w:val="24"/>
          <w:szCs w:val="24"/>
        </w:rPr>
        <w:t>.</w:t>
      </w:r>
      <w:r w:rsidR="006A16B8">
        <w:rPr>
          <w:rFonts w:ascii="Times New Roman" w:hAnsi="Times New Roman" w:cs="Times New Roman"/>
          <w:sz w:val="24"/>
          <w:szCs w:val="24"/>
        </w:rPr>
        <w:t xml:space="preserve"> </w:t>
      </w:r>
      <w:r w:rsidR="00AC2CA9">
        <w:rPr>
          <w:rFonts w:ascii="Times New Roman" w:hAnsi="Times New Roman" w:cs="Times New Roman"/>
          <w:sz w:val="24"/>
          <w:szCs w:val="24"/>
        </w:rPr>
        <w:t>Ugyan az A</w:t>
      </w:r>
      <w:r w:rsidR="00AF7A8B">
        <w:rPr>
          <w:rFonts w:ascii="Times New Roman" w:hAnsi="Times New Roman" w:cs="Times New Roman"/>
          <w:sz w:val="24"/>
          <w:szCs w:val="24"/>
        </w:rPr>
        <w:t>laptörvény</w:t>
      </w:r>
      <w:r w:rsidR="00AC2CA9">
        <w:rPr>
          <w:rFonts w:ascii="Times New Roman" w:hAnsi="Times New Roman" w:cs="Times New Roman"/>
          <w:sz w:val="24"/>
          <w:szCs w:val="24"/>
        </w:rPr>
        <w:t xml:space="preserve"> </w:t>
      </w:r>
      <w:r w:rsidR="00AA27DA">
        <w:rPr>
          <w:rFonts w:ascii="Times New Roman" w:hAnsi="Times New Roman" w:cs="Times New Roman"/>
          <w:sz w:val="24"/>
          <w:szCs w:val="24"/>
        </w:rPr>
        <w:t xml:space="preserve">XXVIII. és </w:t>
      </w:r>
      <w:r w:rsidR="00AC2CA9">
        <w:rPr>
          <w:rFonts w:ascii="Times New Roman" w:hAnsi="Times New Roman" w:cs="Times New Roman"/>
          <w:sz w:val="24"/>
          <w:szCs w:val="24"/>
        </w:rPr>
        <w:t>28. cikk</w:t>
      </w:r>
      <w:r w:rsidR="00AA27DA">
        <w:rPr>
          <w:rFonts w:ascii="Times New Roman" w:hAnsi="Times New Roman" w:cs="Times New Roman"/>
          <w:sz w:val="24"/>
          <w:szCs w:val="24"/>
        </w:rPr>
        <w:t>ének együttes vizsgálat</w:t>
      </w:r>
      <w:r w:rsidR="00DB45C0">
        <w:rPr>
          <w:rFonts w:ascii="Times New Roman" w:hAnsi="Times New Roman" w:cs="Times New Roman"/>
          <w:sz w:val="24"/>
          <w:szCs w:val="24"/>
        </w:rPr>
        <w:t xml:space="preserve">ával kapcsolatban </w:t>
      </w:r>
      <w:r w:rsidR="00AC2CA9">
        <w:rPr>
          <w:rFonts w:ascii="Times New Roman" w:hAnsi="Times New Roman" w:cs="Times New Roman"/>
          <w:sz w:val="24"/>
          <w:szCs w:val="24"/>
        </w:rPr>
        <w:t xml:space="preserve">nem </w:t>
      </w:r>
      <w:r w:rsidR="00AF7A8B">
        <w:rPr>
          <w:rFonts w:ascii="Times New Roman" w:hAnsi="Times New Roman" w:cs="Times New Roman"/>
          <w:sz w:val="24"/>
          <w:szCs w:val="24"/>
        </w:rPr>
        <w:t>visszautasították</w:t>
      </w:r>
      <w:r w:rsidR="00AC2CA9">
        <w:rPr>
          <w:rFonts w:ascii="Times New Roman" w:hAnsi="Times New Roman" w:cs="Times New Roman"/>
          <w:sz w:val="24"/>
          <w:szCs w:val="24"/>
        </w:rPr>
        <w:t xml:space="preserve"> az Indítványt</w:t>
      </w:r>
      <w:r w:rsidR="00DB45C0">
        <w:rPr>
          <w:rFonts w:ascii="Times New Roman" w:hAnsi="Times New Roman" w:cs="Times New Roman"/>
          <w:sz w:val="24"/>
          <w:szCs w:val="24"/>
        </w:rPr>
        <w:t xml:space="preserve"> a 28. cikk tekintetében</w:t>
      </w:r>
      <w:r w:rsidR="00AC2CA9">
        <w:rPr>
          <w:rFonts w:ascii="Times New Roman" w:hAnsi="Times New Roman" w:cs="Times New Roman"/>
          <w:sz w:val="24"/>
          <w:szCs w:val="24"/>
        </w:rPr>
        <w:t xml:space="preserve">, </w:t>
      </w:r>
      <w:r w:rsidR="00AF7A8B">
        <w:rPr>
          <w:rFonts w:ascii="Times New Roman" w:hAnsi="Times New Roman" w:cs="Times New Roman"/>
          <w:sz w:val="24"/>
          <w:szCs w:val="24"/>
        </w:rPr>
        <w:t xml:space="preserve">ahogyan azt mi a 3090/2015 (V. 19.) AB határozat alapján </w:t>
      </w:r>
      <w:r w:rsidR="00AA27DA">
        <w:rPr>
          <w:rFonts w:ascii="Times New Roman" w:hAnsi="Times New Roman" w:cs="Times New Roman"/>
          <w:sz w:val="24"/>
          <w:szCs w:val="24"/>
        </w:rPr>
        <w:t xml:space="preserve">javasoltuk, </w:t>
      </w:r>
      <w:r w:rsidR="00DB45C0">
        <w:rPr>
          <w:rFonts w:ascii="Times New Roman" w:hAnsi="Times New Roman" w:cs="Times New Roman"/>
          <w:sz w:val="24"/>
          <w:szCs w:val="24"/>
        </w:rPr>
        <w:t xml:space="preserve">hanem a teljes Indítványt elutasították, </w:t>
      </w:r>
      <w:r w:rsidR="00AA27DA">
        <w:rPr>
          <w:rFonts w:ascii="Times New Roman" w:hAnsi="Times New Roman" w:cs="Times New Roman"/>
          <w:sz w:val="24"/>
          <w:szCs w:val="24"/>
        </w:rPr>
        <w:t xml:space="preserve">de a </w:t>
      </w:r>
      <w:r w:rsidR="00AA27DA" w:rsidRPr="00AA27DA">
        <w:rPr>
          <w:rFonts w:ascii="Times New Roman" w:hAnsi="Times New Roman" w:cs="Times New Roman"/>
          <w:sz w:val="24"/>
          <w:szCs w:val="24"/>
        </w:rPr>
        <w:t>22/2021. (VII. 13.) AB határozat</w:t>
      </w:r>
      <w:r w:rsidR="00AA27DA">
        <w:rPr>
          <w:rFonts w:ascii="Times New Roman" w:hAnsi="Times New Roman" w:cs="Times New Roman"/>
          <w:sz w:val="24"/>
          <w:szCs w:val="24"/>
        </w:rPr>
        <w:t xml:space="preserve">ra tekintettel ez a megoldás is elfogadhatónak tekinthető, így a rendelkező résszel </w:t>
      </w:r>
      <w:r w:rsidR="004E48B5">
        <w:rPr>
          <w:rFonts w:ascii="Times New Roman" w:hAnsi="Times New Roman" w:cs="Times New Roman"/>
          <w:sz w:val="24"/>
          <w:szCs w:val="24"/>
        </w:rPr>
        <w:t>teljesen azonosulni tudunk.</w:t>
      </w:r>
    </w:p>
    <w:p w14:paraId="62202D34" w14:textId="73B03D40" w:rsidR="004E48B5" w:rsidRDefault="004E48B5" w:rsidP="00AC2CA9">
      <w:pPr>
        <w:jc w:val="both"/>
        <w:rPr>
          <w:rFonts w:ascii="Times New Roman" w:hAnsi="Times New Roman" w:cs="Times New Roman"/>
          <w:sz w:val="24"/>
          <w:szCs w:val="24"/>
        </w:rPr>
      </w:pPr>
      <w:r>
        <w:rPr>
          <w:rFonts w:ascii="Times New Roman" w:hAnsi="Times New Roman" w:cs="Times New Roman"/>
          <w:sz w:val="24"/>
          <w:szCs w:val="24"/>
        </w:rPr>
        <w:t>Az Indokolás érdemi részében foglaltakkal azonban részben nem értünk egyet.</w:t>
      </w:r>
    </w:p>
    <w:p w14:paraId="3BA5ABF3" w14:textId="612F3930" w:rsidR="007F0D71" w:rsidRDefault="00B22379" w:rsidP="00C63C72">
      <w:pPr>
        <w:jc w:val="both"/>
        <w:rPr>
          <w:rFonts w:ascii="Times New Roman" w:hAnsi="Times New Roman" w:cs="Times New Roman"/>
          <w:sz w:val="24"/>
          <w:szCs w:val="24"/>
        </w:rPr>
      </w:pPr>
      <w:r>
        <w:rPr>
          <w:rFonts w:ascii="Times New Roman" w:hAnsi="Times New Roman" w:cs="Times New Roman"/>
          <w:sz w:val="24"/>
          <w:szCs w:val="24"/>
        </w:rPr>
        <w:t>A</w:t>
      </w:r>
      <w:r w:rsidR="00392FD1">
        <w:rPr>
          <w:rFonts w:ascii="Times New Roman" w:hAnsi="Times New Roman" w:cs="Times New Roman"/>
          <w:sz w:val="24"/>
          <w:szCs w:val="24"/>
        </w:rPr>
        <w:t xml:space="preserve"> </w:t>
      </w:r>
      <w:r w:rsidR="00C63C72">
        <w:rPr>
          <w:rFonts w:ascii="Times New Roman" w:hAnsi="Times New Roman" w:cs="Times New Roman"/>
          <w:sz w:val="24"/>
          <w:szCs w:val="24"/>
        </w:rPr>
        <w:t xml:space="preserve">rendelkezésünkre bocsátott jogeset szerint az Indítványozó azért hivatkozott az Alaptörvény XXVIII. és 28. cikkeire, mert </w:t>
      </w:r>
      <w:r w:rsidR="00AA321C" w:rsidRPr="00AA321C">
        <w:rPr>
          <w:rFonts w:ascii="Times New Roman" w:hAnsi="Times New Roman" w:cs="Times New Roman"/>
          <w:i/>
          <w:iCs/>
          <w:sz w:val="24"/>
          <w:szCs w:val="24"/>
        </w:rPr>
        <w:t>„</w:t>
      </w:r>
      <w:r w:rsidR="00C63C72" w:rsidRPr="00AA321C">
        <w:rPr>
          <w:rFonts w:ascii="Times New Roman" w:hAnsi="Times New Roman" w:cs="Times New Roman"/>
          <w:i/>
          <w:iCs/>
          <w:sz w:val="24"/>
          <w:szCs w:val="24"/>
        </w:rPr>
        <w:t>az eljáró bíróság döntésének meghozatala során nem vette figyelembe, hogy az indítványozó számára nem áll rendelkezésre olyan más jogi eszköz, amelyre hivatkozással jogvédelemért folyamodhatott volna, így személyiségi jogainak megsértésére ultima ratio jelleggel hivatkozott</w:t>
      </w:r>
      <w:r w:rsidR="00AA321C">
        <w:rPr>
          <w:rFonts w:ascii="Times New Roman" w:hAnsi="Times New Roman" w:cs="Times New Roman"/>
          <w:i/>
          <w:iCs/>
          <w:sz w:val="24"/>
          <w:szCs w:val="24"/>
        </w:rPr>
        <w:t xml:space="preserve">” </w:t>
      </w:r>
      <w:r w:rsidR="00AA321C">
        <w:rPr>
          <w:rFonts w:ascii="Times New Roman" w:hAnsi="Times New Roman" w:cs="Times New Roman"/>
          <w:sz w:val="24"/>
          <w:szCs w:val="24"/>
        </w:rPr>
        <w:t xml:space="preserve">és ezt a bíróság nem vette figyelembe. </w:t>
      </w:r>
      <w:r>
        <w:rPr>
          <w:rFonts w:ascii="Times New Roman" w:hAnsi="Times New Roman" w:cs="Times New Roman"/>
          <w:sz w:val="24"/>
          <w:szCs w:val="24"/>
        </w:rPr>
        <w:t xml:space="preserve">Ennek alapján vizsgálták a határozattervezetben a jogorvoslathoz való </w:t>
      </w:r>
      <w:r w:rsidR="007F0D71">
        <w:rPr>
          <w:rFonts w:ascii="Times New Roman" w:hAnsi="Times New Roman" w:cs="Times New Roman"/>
          <w:sz w:val="24"/>
          <w:szCs w:val="24"/>
        </w:rPr>
        <w:t xml:space="preserve">jog sérelmét, </w:t>
      </w:r>
      <w:r w:rsidR="001A1FA1">
        <w:rPr>
          <w:rFonts w:ascii="Times New Roman" w:hAnsi="Times New Roman" w:cs="Times New Roman"/>
          <w:sz w:val="24"/>
          <w:szCs w:val="24"/>
        </w:rPr>
        <w:t>amellyel a következők miatt nem tudunk egyetérteni:</w:t>
      </w:r>
    </w:p>
    <w:p w14:paraId="6BB1D4E1" w14:textId="6229023E" w:rsidR="001A1FA1" w:rsidRDefault="001A1FA1" w:rsidP="00264668">
      <w:pPr>
        <w:jc w:val="both"/>
        <w:rPr>
          <w:rFonts w:ascii="Times New Roman" w:hAnsi="Times New Roman" w:cs="Times New Roman"/>
          <w:sz w:val="24"/>
          <w:szCs w:val="24"/>
        </w:rPr>
      </w:pPr>
      <w:r w:rsidRPr="00264668">
        <w:rPr>
          <w:rFonts w:ascii="Times New Roman" w:hAnsi="Times New Roman" w:cs="Times New Roman"/>
          <w:sz w:val="24"/>
          <w:szCs w:val="24"/>
        </w:rPr>
        <w:t xml:space="preserve">A határozattervezet megfogalmazása szerint </w:t>
      </w:r>
      <w:r w:rsidRPr="00264668">
        <w:rPr>
          <w:rFonts w:ascii="Times New Roman" w:hAnsi="Times New Roman" w:cs="Times New Roman"/>
          <w:i/>
          <w:iCs/>
          <w:sz w:val="24"/>
          <w:szCs w:val="24"/>
        </w:rPr>
        <w:t>„</w:t>
      </w:r>
      <w:r w:rsidR="00767B99" w:rsidRPr="00264668">
        <w:rPr>
          <w:rFonts w:ascii="Times New Roman" w:hAnsi="Times New Roman" w:cs="Times New Roman"/>
          <w:i/>
          <w:iCs/>
          <w:sz w:val="24"/>
          <w:szCs w:val="24"/>
        </w:rPr>
        <w:t>az indítványozónak az Alaptörvény XXVIII. cikkében foglalt</w:t>
      </w:r>
      <w:r w:rsidR="00891907">
        <w:rPr>
          <w:rFonts w:ascii="Times New Roman" w:hAnsi="Times New Roman" w:cs="Times New Roman"/>
          <w:i/>
          <w:iCs/>
          <w:sz w:val="24"/>
          <w:szCs w:val="24"/>
        </w:rPr>
        <w:t xml:space="preserve"> </w:t>
      </w:r>
      <w:r w:rsidR="00767B99" w:rsidRPr="00264668">
        <w:rPr>
          <w:rFonts w:ascii="Times New Roman" w:hAnsi="Times New Roman" w:cs="Times New Roman"/>
          <w:i/>
          <w:iCs/>
          <w:sz w:val="24"/>
          <w:szCs w:val="24"/>
        </w:rPr>
        <w:t>jogorvoslathoz való joga nem sérült azzal, hogy az elsőfokú bíróság nem vizsgálta azt a körülményt, hogy az indítványozó számára nem állt rendelkezésre egyéb jogi eszköz</w:t>
      </w:r>
      <w:r w:rsidR="00184F9B">
        <w:rPr>
          <w:rFonts w:ascii="Times New Roman" w:hAnsi="Times New Roman" w:cs="Times New Roman"/>
          <w:i/>
          <w:iCs/>
          <w:sz w:val="24"/>
          <w:szCs w:val="24"/>
        </w:rPr>
        <w:t>,</w:t>
      </w:r>
      <w:r w:rsidR="00767B99" w:rsidRPr="00264668">
        <w:rPr>
          <w:rFonts w:ascii="Times New Roman" w:hAnsi="Times New Roman" w:cs="Times New Roman"/>
          <w:i/>
          <w:iCs/>
          <w:sz w:val="24"/>
          <w:szCs w:val="24"/>
        </w:rPr>
        <w:t xml:space="preserve"> mint a hivatkozott személyiségi jogainak megsértésére való hivatkozás.” </w:t>
      </w:r>
      <w:r w:rsidR="00767B99" w:rsidRPr="00264668">
        <w:rPr>
          <w:rFonts w:ascii="Times New Roman" w:hAnsi="Times New Roman" w:cs="Times New Roman"/>
          <w:sz w:val="24"/>
          <w:szCs w:val="24"/>
        </w:rPr>
        <w:t xml:space="preserve">(Indokolás [22]) Ez ugyanakkor téves következtetés, hiszen </w:t>
      </w:r>
      <w:r w:rsidR="003A2EE7" w:rsidRPr="00264668">
        <w:rPr>
          <w:rFonts w:ascii="Times New Roman" w:hAnsi="Times New Roman" w:cs="Times New Roman"/>
          <w:sz w:val="24"/>
          <w:szCs w:val="24"/>
        </w:rPr>
        <w:t xml:space="preserve">fel sem merülhet annak követelménye, hogy az elsőfokú bíróság vegye figyelembe a fent nevezett körülményt, </w:t>
      </w:r>
      <w:r w:rsidR="00AC315F" w:rsidRPr="00264668">
        <w:rPr>
          <w:rFonts w:ascii="Times New Roman" w:hAnsi="Times New Roman" w:cs="Times New Roman"/>
          <w:sz w:val="24"/>
          <w:szCs w:val="24"/>
        </w:rPr>
        <w:t>ugyanis a jogorvoslathoz való jog – ahogyan a határozattervezet is felhívja rá a figyelmet - „azt követeli meg a jogalkotótól, hogy a hatóságok vagy bíróságok érdemi, ügydöntő határozatai tekintetében tegye lehetővé a valamely más szervhez, vagy ugyanazon szervezeten belüli magasabb fórumhoz fordulás lehetőségét olyan döntés meghozataláért, amely képes a sérelmezett döntést felülvizsgálni, és a sérelem megállapítása esetén a döntésre visszaható módon a sérelmet orvosolni.”</w:t>
      </w:r>
      <w:r w:rsidR="0035638E" w:rsidRPr="00264668">
        <w:rPr>
          <w:rFonts w:ascii="Times New Roman" w:hAnsi="Times New Roman" w:cs="Times New Roman"/>
          <w:sz w:val="24"/>
          <w:szCs w:val="24"/>
        </w:rPr>
        <w:t xml:space="preserve"> A határozattervezet ennek kimondása ellenére azt sugallja, hogy az elsőfokú bíróságnak valamely hatóság vagy más bíróság </w:t>
      </w:r>
      <w:r w:rsidR="00A905B4" w:rsidRPr="00264668">
        <w:rPr>
          <w:rFonts w:ascii="Times New Roman" w:hAnsi="Times New Roman" w:cs="Times New Roman"/>
          <w:sz w:val="24"/>
          <w:szCs w:val="24"/>
        </w:rPr>
        <w:t xml:space="preserve">érdemi, ügydöntő határozatát kéne felülvizsgálni, ami </w:t>
      </w:r>
      <w:r w:rsidR="00184F9B">
        <w:rPr>
          <w:rFonts w:ascii="Times New Roman" w:hAnsi="Times New Roman" w:cs="Times New Roman"/>
          <w:sz w:val="24"/>
          <w:szCs w:val="24"/>
        </w:rPr>
        <w:t>nem logikus</w:t>
      </w:r>
      <w:r w:rsidR="00A905B4" w:rsidRPr="00264668">
        <w:rPr>
          <w:rFonts w:ascii="Times New Roman" w:hAnsi="Times New Roman" w:cs="Times New Roman"/>
          <w:sz w:val="24"/>
          <w:szCs w:val="24"/>
        </w:rPr>
        <w:t xml:space="preserve">, hiszen a közösségi médiaszolgáltató se nem hatóság, se nem bíróság, így a döntésével kapcsolatban nem merülhet fel a jogorvoslathoz való jog, így annak sérelme sem. </w:t>
      </w:r>
      <w:r w:rsidR="000E3337" w:rsidRPr="00264668">
        <w:rPr>
          <w:rFonts w:ascii="Times New Roman" w:hAnsi="Times New Roman" w:cs="Times New Roman"/>
          <w:sz w:val="24"/>
          <w:szCs w:val="24"/>
        </w:rPr>
        <w:t xml:space="preserve">Mivel a határozattervezet azt fejti ki, hogy </w:t>
      </w:r>
      <w:r w:rsidR="00AA3876" w:rsidRPr="00264668">
        <w:rPr>
          <w:rFonts w:ascii="Times New Roman" w:hAnsi="Times New Roman" w:cs="Times New Roman"/>
          <w:sz w:val="24"/>
          <w:szCs w:val="24"/>
        </w:rPr>
        <w:t>a</w:t>
      </w:r>
      <w:r w:rsidR="000E3337" w:rsidRPr="00264668">
        <w:rPr>
          <w:rFonts w:ascii="Times New Roman" w:hAnsi="Times New Roman" w:cs="Times New Roman"/>
          <w:sz w:val="24"/>
          <w:szCs w:val="24"/>
        </w:rPr>
        <w:t xml:space="preserve">z </w:t>
      </w:r>
      <w:r w:rsidR="00AA3876" w:rsidRPr="00264668">
        <w:rPr>
          <w:rFonts w:ascii="Times New Roman" w:hAnsi="Times New Roman" w:cs="Times New Roman"/>
          <w:sz w:val="24"/>
          <w:szCs w:val="24"/>
        </w:rPr>
        <w:t>Indítványozó ezen</w:t>
      </w:r>
      <w:r w:rsidR="000E3337" w:rsidRPr="00264668">
        <w:rPr>
          <w:rFonts w:ascii="Times New Roman" w:hAnsi="Times New Roman" w:cs="Times New Roman"/>
          <w:sz w:val="24"/>
          <w:szCs w:val="24"/>
        </w:rPr>
        <w:t xml:space="preserve"> joga azért nem sérült, mert </w:t>
      </w:r>
      <w:r w:rsidR="00AA3876" w:rsidRPr="00264668">
        <w:rPr>
          <w:rFonts w:ascii="Times New Roman" w:hAnsi="Times New Roman" w:cs="Times New Roman"/>
          <w:sz w:val="24"/>
          <w:szCs w:val="24"/>
        </w:rPr>
        <w:t xml:space="preserve">az Alkotmánybíróság gyakorlata szerint azt nem lehet a jogorvoslathoz való jog megsértésének tekinteni, hogy </w:t>
      </w:r>
      <w:r w:rsidR="00734F0D" w:rsidRPr="00264668">
        <w:rPr>
          <w:rFonts w:ascii="Times New Roman" w:hAnsi="Times New Roman" w:cs="Times New Roman"/>
          <w:sz w:val="24"/>
          <w:szCs w:val="24"/>
        </w:rPr>
        <w:t>a jogerős határozatot hozó bíróság nem osztotta az indítványozó jogi álláspontját és ezáltal pervesztes lett</w:t>
      </w:r>
      <w:r w:rsidR="009B2AF5" w:rsidRPr="00264668">
        <w:rPr>
          <w:rFonts w:ascii="Times New Roman" w:hAnsi="Times New Roman" w:cs="Times New Roman"/>
          <w:sz w:val="24"/>
          <w:szCs w:val="24"/>
        </w:rPr>
        <w:t xml:space="preserve">, a jogorvoslathoz való jog ugyanis „nem garantálja az érintett által sérelmesnek tartott elsőfokú döntés megváltoztatását, és nem biztosít jogot a számára kedvezőnek tartott döntéshez.” </w:t>
      </w:r>
      <w:r w:rsidR="00DD286D" w:rsidRPr="00264668">
        <w:rPr>
          <w:rFonts w:ascii="Times New Roman" w:hAnsi="Times New Roman" w:cs="Times New Roman"/>
          <w:sz w:val="24"/>
          <w:szCs w:val="24"/>
        </w:rPr>
        <w:t xml:space="preserve">Ez az – egyébként helyes – gondolatmenet a határozattervezetben </w:t>
      </w:r>
      <w:r w:rsidR="00EB1E71">
        <w:rPr>
          <w:rFonts w:ascii="Times New Roman" w:hAnsi="Times New Roman" w:cs="Times New Roman"/>
          <w:sz w:val="24"/>
          <w:szCs w:val="24"/>
        </w:rPr>
        <w:t xml:space="preserve">helytelenül </w:t>
      </w:r>
      <w:r w:rsidR="00DD286D" w:rsidRPr="00264668">
        <w:rPr>
          <w:rFonts w:ascii="Times New Roman" w:hAnsi="Times New Roman" w:cs="Times New Roman"/>
          <w:sz w:val="24"/>
          <w:szCs w:val="24"/>
        </w:rPr>
        <w:t xml:space="preserve">arra vezet, hogy az elsőfokú bíróság </w:t>
      </w:r>
      <w:r w:rsidR="00E83C2F" w:rsidRPr="00264668">
        <w:rPr>
          <w:rFonts w:ascii="Times New Roman" w:hAnsi="Times New Roman" w:cs="Times New Roman"/>
          <w:sz w:val="24"/>
          <w:szCs w:val="24"/>
        </w:rPr>
        <w:t>végső soron nem sérthette meg az indítványozó jogorvoslathoz való jogát azzal, hog</w:t>
      </w:r>
      <w:r w:rsidR="00F67EF0" w:rsidRPr="00264668">
        <w:rPr>
          <w:rFonts w:ascii="Times New Roman" w:hAnsi="Times New Roman" w:cs="Times New Roman"/>
          <w:sz w:val="24"/>
          <w:szCs w:val="24"/>
        </w:rPr>
        <w:t xml:space="preserve">y nem az indítványozó számára kedvező módon bírálta el azt; ez azonban az előbbiekben kifejtetteknek megfelelően megalapozatlan. Az elsőfokú bírósággal szemben ugyanis csakis akkor merülhetett volna fel ez </w:t>
      </w:r>
      <w:r w:rsidR="00F67EF0" w:rsidRPr="00264668">
        <w:rPr>
          <w:rFonts w:ascii="Times New Roman" w:hAnsi="Times New Roman" w:cs="Times New Roman"/>
          <w:sz w:val="24"/>
          <w:szCs w:val="24"/>
        </w:rPr>
        <w:lastRenderedPageBreak/>
        <w:t xml:space="preserve">a követelmény, ha </w:t>
      </w:r>
      <w:r w:rsidR="006545E2" w:rsidRPr="00264668">
        <w:rPr>
          <w:rFonts w:ascii="Times New Roman" w:hAnsi="Times New Roman" w:cs="Times New Roman"/>
          <w:sz w:val="24"/>
          <w:szCs w:val="24"/>
        </w:rPr>
        <w:t>hatósági döntés felülvizsgálatában járt volna el; ez pedig azt feltételezi, hogy a közösségi média szolgáltatót hatóságnak tekintjük</w:t>
      </w:r>
      <w:r w:rsidR="00CD5C69">
        <w:rPr>
          <w:rFonts w:ascii="Times New Roman" w:hAnsi="Times New Roman" w:cs="Times New Roman"/>
          <w:sz w:val="24"/>
          <w:szCs w:val="24"/>
        </w:rPr>
        <w:t xml:space="preserve">; ez pedig </w:t>
      </w:r>
      <w:r w:rsidR="00CA2AC0">
        <w:rPr>
          <w:rFonts w:ascii="Times New Roman" w:hAnsi="Times New Roman" w:cs="Times New Roman"/>
          <w:sz w:val="24"/>
          <w:szCs w:val="24"/>
        </w:rPr>
        <w:t xml:space="preserve">nem </w:t>
      </w:r>
      <w:r w:rsidR="006545E2" w:rsidRPr="00264668">
        <w:rPr>
          <w:rFonts w:ascii="Times New Roman" w:hAnsi="Times New Roman" w:cs="Times New Roman"/>
          <w:sz w:val="24"/>
          <w:szCs w:val="24"/>
        </w:rPr>
        <w:t>volna</w:t>
      </w:r>
      <w:r w:rsidR="00CA2AC0">
        <w:rPr>
          <w:rFonts w:ascii="Times New Roman" w:hAnsi="Times New Roman" w:cs="Times New Roman"/>
          <w:sz w:val="24"/>
          <w:szCs w:val="24"/>
        </w:rPr>
        <w:t xml:space="preserve"> megfelelő</w:t>
      </w:r>
      <w:r w:rsidR="006545E2" w:rsidRPr="00264668">
        <w:rPr>
          <w:rFonts w:ascii="Times New Roman" w:hAnsi="Times New Roman" w:cs="Times New Roman"/>
          <w:sz w:val="24"/>
          <w:szCs w:val="24"/>
        </w:rPr>
        <w:t>. Ezért a</w:t>
      </w:r>
      <w:r w:rsidR="00264668" w:rsidRPr="00264668">
        <w:rPr>
          <w:rFonts w:ascii="Times New Roman" w:hAnsi="Times New Roman" w:cs="Times New Roman"/>
          <w:sz w:val="24"/>
          <w:szCs w:val="24"/>
        </w:rPr>
        <w:t xml:space="preserve"> jogorvoslathoz való jog vizsgálatát szükségtelennek tartjuk a határozatban.</w:t>
      </w:r>
      <w:r w:rsidR="00E83C2F" w:rsidRPr="00264668">
        <w:rPr>
          <w:rFonts w:ascii="Times New Roman" w:hAnsi="Times New Roman" w:cs="Times New Roman"/>
          <w:sz w:val="24"/>
          <w:szCs w:val="24"/>
        </w:rPr>
        <w:t xml:space="preserve"> </w:t>
      </w:r>
      <w:r w:rsidR="008B0B83">
        <w:rPr>
          <w:rFonts w:ascii="Times New Roman" w:hAnsi="Times New Roman" w:cs="Times New Roman"/>
          <w:sz w:val="24"/>
          <w:szCs w:val="24"/>
        </w:rPr>
        <w:t xml:space="preserve">A 28. cikkel kapcsolatban </w:t>
      </w:r>
      <w:proofErr w:type="spellStart"/>
      <w:r w:rsidR="008B0B83">
        <w:rPr>
          <w:rFonts w:ascii="Times New Roman" w:hAnsi="Times New Roman" w:cs="Times New Roman"/>
          <w:sz w:val="24"/>
          <w:szCs w:val="24"/>
        </w:rPr>
        <w:t>megfogalmazottakkal</w:t>
      </w:r>
      <w:proofErr w:type="spellEnd"/>
      <w:r w:rsidR="008B0B83">
        <w:rPr>
          <w:rFonts w:ascii="Times New Roman" w:hAnsi="Times New Roman" w:cs="Times New Roman"/>
          <w:sz w:val="24"/>
          <w:szCs w:val="24"/>
        </w:rPr>
        <w:t xml:space="preserve"> </w:t>
      </w:r>
      <w:r w:rsidR="00DF186F">
        <w:rPr>
          <w:rFonts w:ascii="Times New Roman" w:hAnsi="Times New Roman" w:cs="Times New Roman"/>
          <w:sz w:val="24"/>
          <w:szCs w:val="24"/>
        </w:rPr>
        <w:t>mindazonáltal egyetértünk.</w:t>
      </w:r>
    </w:p>
    <w:p w14:paraId="363886F0" w14:textId="580DB4B8" w:rsidR="00DF186F" w:rsidRDefault="0080568E" w:rsidP="00C21A2D">
      <w:pPr>
        <w:jc w:val="both"/>
        <w:rPr>
          <w:rFonts w:ascii="Times New Roman" w:hAnsi="Times New Roman" w:cs="Times New Roman"/>
          <w:sz w:val="24"/>
          <w:szCs w:val="24"/>
        </w:rPr>
      </w:pPr>
      <w:r>
        <w:rPr>
          <w:rFonts w:ascii="Times New Roman" w:hAnsi="Times New Roman" w:cs="Times New Roman"/>
          <w:sz w:val="24"/>
          <w:szCs w:val="24"/>
        </w:rPr>
        <w:t xml:space="preserve">Nem értünk egyet továbbá </w:t>
      </w:r>
      <w:r w:rsidR="00C34096">
        <w:rPr>
          <w:rFonts w:ascii="Times New Roman" w:hAnsi="Times New Roman" w:cs="Times New Roman"/>
          <w:sz w:val="24"/>
          <w:szCs w:val="24"/>
        </w:rPr>
        <w:t xml:space="preserve">a tervezet egyenlő bánásmódról szóló bekezdésének azon részével, amelyben a szerzők arra utalnak, hogy </w:t>
      </w:r>
      <w:r w:rsidR="00C21A2D">
        <w:rPr>
          <w:rFonts w:ascii="Times New Roman" w:hAnsi="Times New Roman" w:cs="Times New Roman"/>
          <w:sz w:val="24"/>
          <w:szCs w:val="24"/>
        </w:rPr>
        <w:t>„a</w:t>
      </w:r>
      <w:r w:rsidR="00C21A2D" w:rsidRPr="00C21A2D">
        <w:rPr>
          <w:rFonts w:ascii="Times New Roman" w:hAnsi="Times New Roman" w:cs="Times New Roman"/>
          <w:sz w:val="24"/>
          <w:szCs w:val="24"/>
        </w:rPr>
        <w:t>z egyenlő bánásmód követelményének megsértése a mesterséges intelligencia</w:t>
      </w:r>
      <w:r w:rsidR="00C21A2D">
        <w:rPr>
          <w:rFonts w:ascii="Times New Roman" w:hAnsi="Times New Roman" w:cs="Times New Roman"/>
          <w:sz w:val="24"/>
          <w:szCs w:val="24"/>
        </w:rPr>
        <w:t xml:space="preserve"> </w:t>
      </w:r>
      <w:r w:rsidR="00C21A2D" w:rsidRPr="00C21A2D">
        <w:rPr>
          <w:rFonts w:ascii="Times New Roman" w:hAnsi="Times New Roman" w:cs="Times New Roman"/>
          <w:sz w:val="24"/>
          <w:szCs w:val="24"/>
        </w:rPr>
        <w:t>alkalmazása által fogalmilag elképzelhetetlen, így hátrányos megkülönböztetésről nem</w:t>
      </w:r>
      <w:r w:rsidR="00C21A2D">
        <w:rPr>
          <w:rFonts w:ascii="Times New Roman" w:hAnsi="Times New Roman" w:cs="Times New Roman"/>
          <w:sz w:val="24"/>
          <w:szCs w:val="24"/>
        </w:rPr>
        <w:t xml:space="preserve"> </w:t>
      </w:r>
      <w:r w:rsidR="00C21A2D" w:rsidRPr="00C21A2D">
        <w:rPr>
          <w:rFonts w:ascii="Times New Roman" w:hAnsi="Times New Roman" w:cs="Times New Roman"/>
          <w:sz w:val="24"/>
          <w:szCs w:val="24"/>
        </w:rPr>
        <w:t>beszélhetünk.</w:t>
      </w:r>
      <w:r w:rsidR="00F6443C">
        <w:rPr>
          <w:rFonts w:ascii="Times New Roman" w:hAnsi="Times New Roman" w:cs="Times New Roman"/>
          <w:sz w:val="24"/>
          <w:szCs w:val="24"/>
        </w:rPr>
        <w:t xml:space="preserve">” Bár ez ebben a formában valóban igaz, de esetünkben nemcsak a bejegyzés eltávolítását – amelyet valóban mesterséges intelligencia végez – kell vizsgálni, hanem azt a tényt, hogy a szolgáltató az Indítványozó kérése ellenére </w:t>
      </w:r>
      <w:r w:rsidR="00026905">
        <w:rPr>
          <w:rFonts w:ascii="Times New Roman" w:hAnsi="Times New Roman" w:cs="Times New Roman"/>
          <w:sz w:val="24"/>
          <w:szCs w:val="24"/>
        </w:rPr>
        <w:t>nem intézkedett a bejegyzés, illetve a felhasználói fiók visszaállítása kérdésében</w:t>
      </w:r>
      <w:r w:rsidR="00F23F5F">
        <w:rPr>
          <w:rFonts w:ascii="Times New Roman" w:hAnsi="Times New Roman" w:cs="Times New Roman"/>
          <w:sz w:val="24"/>
          <w:szCs w:val="24"/>
        </w:rPr>
        <w:t xml:space="preserve"> (amelyet pedig már manuálisan végeznek)</w:t>
      </w:r>
      <w:r w:rsidR="00026905">
        <w:rPr>
          <w:rFonts w:ascii="Times New Roman" w:hAnsi="Times New Roman" w:cs="Times New Roman"/>
          <w:sz w:val="24"/>
          <w:szCs w:val="24"/>
        </w:rPr>
        <w:t xml:space="preserve">, </w:t>
      </w:r>
      <w:r w:rsidR="00F23F5F">
        <w:rPr>
          <w:rFonts w:ascii="Times New Roman" w:hAnsi="Times New Roman" w:cs="Times New Roman"/>
          <w:sz w:val="24"/>
          <w:szCs w:val="24"/>
        </w:rPr>
        <w:t xml:space="preserve">ezt azonban a határozattervezet nem veszi </w:t>
      </w:r>
      <w:r w:rsidR="00DB2D78">
        <w:rPr>
          <w:rFonts w:ascii="Times New Roman" w:hAnsi="Times New Roman" w:cs="Times New Roman"/>
          <w:sz w:val="24"/>
          <w:szCs w:val="24"/>
        </w:rPr>
        <w:t>figyelembe</w:t>
      </w:r>
      <w:r w:rsidR="00F23F5F">
        <w:rPr>
          <w:rFonts w:ascii="Times New Roman" w:hAnsi="Times New Roman" w:cs="Times New Roman"/>
          <w:sz w:val="24"/>
          <w:szCs w:val="24"/>
        </w:rPr>
        <w:t xml:space="preserve">. Meglátásunk szerint azonban </w:t>
      </w:r>
      <w:r w:rsidR="00242C56">
        <w:rPr>
          <w:rFonts w:ascii="Times New Roman" w:hAnsi="Times New Roman" w:cs="Times New Roman"/>
          <w:sz w:val="24"/>
          <w:szCs w:val="24"/>
        </w:rPr>
        <w:t xml:space="preserve">az egyenlő bánásmód sérelme nem is a mesterséges intelligencia alkalmazása miatt merülhetett volna fel, hanem egyáltalán nem terjed ki </w:t>
      </w:r>
      <w:r w:rsidR="00FE4B12">
        <w:rPr>
          <w:rFonts w:ascii="Times New Roman" w:hAnsi="Times New Roman" w:cs="Times New Roman"/>
          <w:sz w:val="24"/>
          <w:szCs w:val="24"/>
        </w:rPr>
        <w:t xml:space="preserve">esetünkre – a szerződés megkötésének szakaszán kívül – az egyenlő bánásmód követelménye, ahogyan azt tervezetünkben is megfogalmaztuk. Ezért </w:t>
      </w:r>
      <w:r w:rsidR="0005487E">
        <w:rPr>
          <w:rFonts w:ascii="Times New Roman" w:hAnsi="Times New Roman" w:cs="Times New Roman"/>
          <w:sz w:val="24"/>
          <w:szCs w:val="24"/>
        </w:rPr>
        <w:t>bár azzal a következtetéssel, hogy nem sérült az egyenlő bánásmód követelménye egyetértünk, de az ehhez vezető indokolással nem.</w:t>
      </w:r>
    </w:p>
    <w:p w14:paraId="3A093F60" w14:textId="1583D4F7" w:rsidR="0005487E" w:rsidRDefault="006722B0" w:rsidP="00C21A2D">
      <w:pPr>
        <w:jc w:val="both"/>
        <w:rPr>
          <w:rFonts w:ascii="Times New Roman" w:hAnsi="Times New Roman" w:cs="Times New Roman"/>
          <w:sz w:val="24"/>
          <w:szCs w:val="24"/>
        </w:rPr>
      </w:pPr>
      <w:r>
        <w:rPr>
          <w:rFonts w:ascii="Times New Roman" w:hAnsi="Times New Roman" w:cs="Times New Roman"/>
          <w:sz w:val="24"/>
          <w:szCs w:val="24"/>
        </w:rPr>
        <w:t xml:space="preserve">A véleménynyilvánítással kapcsolatos V. és VI. részben foglaltakat teljes mértékben megalapozottnak tartjuk és </w:t>
      </w:r>
      <w:r w:rsidR="003E5761">
        <w:rPr>
          <w:rFonts w:ascii="Times New Roman" w:hAnsi="Times New Roman" w:cs="Times New Roman"/>
          <w:sz w:val="24"/>
          <w:szCs w:val="24"/>
        </w:rPr>
        <w:t xml:space="preserve">álláspontunk szerint kielégítően alátámasztották a szerzők gondolatmenetüket nemzetközi </w:t>
      </w:r>
      <w:r w:rsidR="00D43888">
        <w:rPr>
          <w:rFonts w:ascii="Times New Roman" w:hAnsi="Times New Roman" w:cs="Times New Roman"/>
          <w:sz w:val="24"/>
          <w:szCs w:val="24"/>
        </w:rPr>
        <w:t>és EJEB joggyakorlattal, valamint a felhozott indokokat</w:t>
      </w:r>
      <w:r w:rsidR="005369EF">
        <w:rPr>
          <w:rFonts w:ascii="Times New Roman" w:hAnsi="Times New Roman" w:cs="Times New Roman"/>
          <w:sz w:val="24"/>
          <w:szCs w:val="24"/>
        </w:rPr>
        <w:t>, különösen a szolgáltató üzleti</w:t>
      </w:r>
      <w:r w:rsidR="0056534F">
        <w:rPr>
          <w:rFonts w:ascii="Times New Roman" w:hAnsi="Times New Roman" w:cs="Times New Roman"/>
          <w:sz w:val="24"/>
          <w:szCs w:val="24"/>
        </w:rPr>
        <w:t xml:space="preserve">/gazdasági érdekének </w:t>
      </w:r>
      <w:r w:rsidR="00BD26C1">
        <w:rPr>
          <w:rFonts w:ascii="Times New Roman" w:hAnsi="Times New Roman" w:cs="Times New Roman"/>
          <w:sz w:val="24"/>
          <w:szCs w:val="24"/>
        </w:rPr>
        <w:t>vizsgálatát</w:t>
      </w:r>
      <w:r w:rsidR="00D43888">
        <w:rPr>
          <w:rFonts w:ascii="Times New Roman" w:hAnsi="Times New Roman" w:cs="Times New Roman"/>
          <w:sz w:val="24"/>
          <w:szCs w:val="24"/>
        </w:rPr>
        <w:t xml:space="preserve"> teljes mértékben relevánsnak és</w:t>
      </w:r>
      <w:r w:rsidR="005A5D84">
        <w:rPr>
          <w:rFonts w:ascii="Times New Roman" w:hAnsi="Times New Roman" w:cs="Times New Roman"/>
          <w:sz w:val="24"/>
          <w:szCs w:val="24"/>
        </w:rPr>
        <w:t xml:space="preserve"> helyesnek tartjuk</w:t>
      </w:r>
      <w:r w:rsidR="006A5422">
        <w:rPr>
          <w:rFonts w:ascii="Times New Roman" w:hAnsi="Times New Roman" w:cs="Times New Roman"/>
          <w:sz w:val="24"/>
          <w:szCs w:val="24"/>
        </w:rPr>
        <w:t>;</w:t>
      </w:r>
      <w:r w:rsidR="005A5D84">
        <w:rPr>
          <w:rFonts w:ascii="Times New Roman" w:hAnsi="Times New Roman" w:cs="Times New Roman"/>
          <w:sz w:val="24"/>
          <w:szCs w:val="24"/>
        </w:rPr>
        <w:t xml:space="preserve"> ezek megfogalmazása pedig tisztán és világosan jeleníti meg, hogy miért </w:t>
      </w:r>
      <w:r w:rsidR="006A5422">
        <w:rPr>
          <w:rFonts w:ascii="Times New Roman" w:hAnsi="Times New Roman" w:cs="Times New Roman"/>
          <w:sz w:val="24"/>
          <w:szCs w:val="24"/>
        </w:rPr>
        <w:t xml:space="preserve">nem sérült az Indítványozó véleménynyilvánításhoz való joga. </w:t>
      </w:r>
      <w:r w:rsidR="00BD26C1">
        <w:rPr>
          <w:rFonts w:ascii="Times New Roman" w:hAnsi="Times New Roman" w:cs="Times New Roman"/>
          <w:sz w:val="24"/>
          <w:szCs w:val="24"/>
        </w:rPr>
        <w:t>Mindezek alapján a végkövetkeztetéssel, azaz, hogy alapjogsérelem nem következett be, egyetértünk amellett, hogy felhívjuk rá a figyelmet, hogy szerintünk ez annak is a következménye, hogy a szolgáltató a véleménynyilvánítási jog tekintetében nem alapjogi kötelezett.</w:t>
      </w:r>
    </w:p>
    <w:p w14:paraId="7D8DD62D" w14:textId="6F83A77D" w:rsidR="00BD26C1" w:rsidRDefault="007937C0" w:rsidP="00D64611">
      <w:pPr>
        <w:jc w:val="both"/>
        <w:rPr>
          <w:rFonts w:ascii="Times New Roman" w:hAnsi="Times New Roman" w:cs="Times New Roman"/>
          <w:sz w:val="24"/>
          <w:szCs w:val="24"/>
        </w:rPr>
      </w:pPr>
      <w:r>
        <w:rPr>
          <w:rFonts w:ascii="Times New Roman" w:hAnsi="Times New Roman" w:cs="Times New Roman"/>
          <w:sz w:val="24"/>
          <w:szCs w:val="24"/>
        </w:rPr>
        <w:t xml:space="preserve">Egyetértünk továbbá a tervezet </w:t>
      </w:r>
      <w:r w:rsidR="00516CAB">
        <w:rPr>
          <w:rFonts w:ascii="Times New Roman" w:hAnsi="Times New Roman" w:cs="Times New Roman"/>
          <w:sz w:val="24"/>
          <w:szCs w:val="24"/>
        </w:rPr>
        <w:t>VII.</w:t>
      </w:r>
      <w:r>
        <w:rPr>
          <w:rFonts w:ascii="Times New Roman" w:hAnsi="Times New Roman" w:cs="Times New Roman"/>
          <w:sz w:val="24"/>
          <w:szCs w:val="24"/>
        </w:rPr>
        <w:t xml:space="preserve"> részével is, amelyben a szerzők</w:t>
      </w:r>
      <w:r w:rsidR="00516CAB">
        <w:rPr>
          <w:rFonts w:ascii="Times New Roman" w:hAnsi="Times New Roman" w:cs="Times New Roman"/>
          <w:sz w:val="24"/>
          <w:szCs w:val="24"/>
        </w:rPr>
        <w:t xml:space="preserve"> arra hivatkoznak, hogy tekintettel arra, hogy az Indítványozó a platformra való regisztrációja során elfogadta a </w:t>
      </w:r>
      <w:r w:rsidR="00536511">
        <w:rPr>
          <w:rFonts w:ascii="Times New Roman" w:hAnsi="Times New Roman" w:cs="Times New Roman"/>
          <w:sz w:val="24"/>
          <w:szCs w:val="24"/>
        </w:rPr>
        <w:t>szolgáltató szerződési feltételeit, amelynek</w:t>
      </w:r>
      <w:r w:rsidR="00D627A8">
        <w:rPr>
          <w:rFonts w:ascii="Times New Roman" w:hAnsi="Times New Roman" w:cs="Times New Roman"/>
          <w:sz w:val="24"/>
          <w:szCs w:val="24"/>
        </w:rPr>
        <w:t xml:space="preserve"> – tekintettel arra, hogy a </w:t>
      </w:r>
      <w:r w:rsidR="00D627A8" w:rsidRPr="00D627A8">
        <w:rPr>
          <w:rFonts w:ascii="Times New Roman" w:hAnsi="Times New Roman" w:cs="Times New Roman"/>
          <w:sz w:val="24"/>
          <w:szCs w:val="24"/>
        </w:rPr>
        <w:t>médiaszolgáltatók szerződési feltételeikben általánosan rögzítik, hogy a</w:t>
      </w:r>
      <w:r w:rsidR="00D627A8">
        <w:rPr>
          <w:rFonts w:ascii="Times New Roman" w:hAnsi="Times New Roman" w:cs="Times New Roman"/>
          <w:sz w:val="24"/>
          <w:szCs w:val="24"/>
        </w:rPr>
        <w:t xml:space="preserve"> </w:t>
      </w:r>
      <w:r w:rsidR="00D627A8" w:rsidRPr="00D627A8">
        <w:rPr>
          <w:rFonts w:ascii="Times New Roman" w:hAnsi="Times New Roman" w:cs="Times New Roman"/>
          <w:sz w:val="24"/>
          <w:szCs w:val="24"/>
        </w:rPr>
        <w:t>gyűlöletbeszéd és az álhírek terjesztése tilos, valamint szankciókat is fűznek az ilyen</w:t>
      </w:r>
      <w:r w:rsidR="00D627A8">
        <w:rPr>
          <w:rFonts w:ascii="Times New Roman" w:hAnsi="Times New Roman" w:cs="Times New Roman"/>
          <w:sz w:val="24"/>
          <w:szCs w:val="24"/>
        </w:rPr>
        <w:t xml:space="preserve"> </w:t>
      </w:r>
      <w:r w:rsidR="00D627A8" w:rsidRPr="00D627A8">
        <w:rPr>
          <w:rFonts w:ascii="Times New Roman" w:hAnsi="Times New Roman" w:cs="Times New Roman"/>
          <w:sz w:val="24"/>
          <w:szCs w:val="24"/>
        </w:rPr>
        <w:t>tartalmak megosztásához</w:t>
      </w:r>
      <w:r w:rsidR="00D627A8">
        <w:rPr>
          <w:rFonts w:ascii="Times New Roman" w:hAnsi="Times New Roman" w:cs="Times New Roman"/>
          <w:sz w:val="24"/>
          <w:szCs w:val="24"/>
        </w:rPr>
        <w:t xml:space="preserve"> – </w:t>
      </w:r>
      <w:r w:rsidR="00536511">
        <w:rPr>
          <w:rFonts w:ascii="Times New Roman" w:hAnsi="Times New Roman" w:cs="Times New Roman"/>
          <w:sz w:val="24"/>
          <w:szCs w:val="24"/>
        </w:rPr>
        <w:t xml:space="preserve">része az is, hogy </w:t>
      </w:r>
      <w:r w:rsidR="00D627A8">
        <w:rPr>
          <w:rFonts w:ascii="Times New Roman" w:hAnsi="Times New Roman" w:cs="Times New Roman"/>
          <w:sz w:val="24"/>
          <w:szCs w:val="24"/>
        </w:rPr>
        <w:t>álhírek terjesztése esetén a szolgáltató a kérdéses bejegyzést törölheti</w:t>
      </w:r>
      <w:r w:rsidR="007A2181">
        <w:rPr>
          <w:rFonts w:ascii="Times New Roman" w:hAnsi="Times New Roman" w:cs="Times New Roman"/>
          <w:sz w:val="24"/>
          <w:szCs w:val="24"/>
        </w:rPr>
        <w:t xml:space="preserve"> vagy akár a felhasználó fiókját is felfüggesztheti a szerződés megsértése miatt. </w:t>
      </w:r>
      <w:r w:rsidR="0070650C">
        <w:rPr>
          <w:rFonts w:ascii="Times New Roman" w:hAnsi="Times New Roman" w:cs="Times New Roman"/>
          <w:sz w:val="24"/>
          <w:szCs w:val="24"/>
        </w:rPr>
        <w:t xml:space="preserve">Tekintettel arra, hogy az Indítványozó a szolgáltató szerint megsértette </w:t>
      </w:r>
      <w:r w:rsidR="00105CF2">
        <w:rPr>
          <w:rFonts w:ascii="Times New Roman" w:hAnsi="Times New Roman" w:cs="Times New Roman"/>
          <w:sz w:val="24"/>
          <w:szCs w:val="24"/>
        </w:rPr>
        <w:t>ezeket a szerződésben foglalt feltételeket, jogosult volt a szankciók alkalmazására</w:t>
      </w:r>
      <w:r w:rsidR="002D5CA4">
        <w:rPr>
          <w:rFonts w:ascii="Times New Roman" w:hAnsi="Times New Roman" w:cs="Times New Roman"/>
          <w:sz w:val="24"/>
          <w:szCs w:val="24"/>
        </w:rPr>
        <w:t>, hiszen ahogyan arra a határozattervezet elvi éllel mutat rá, maga az Indítványozó fogadta e</w:t>
      </w:r>
      <w:r w:rsidR="00155FB6">
        <w:rPr>
          <w:rFonts w:ascii="Times New Roman" w:hAnsi="Times New Roman" w:cs="Times New Roman"/>
          <w:sz w:val="24"/>
          <w:szCs w:val="24"/>
        </w:rPr>
        <w:t xml:space="preserve">l saját akaratából az általános szerződési feltételeket, így pedig a véleménynyilvánításhoz fűződő joga nem sérülhetett. </w:t>
      </w:r>
      <w:r w:rsidR="00D64611">
        <w:rPr>
          <w:rFonts w:ascii="Times New Roman" w:hAnsi="Times New Roman" w:cs="Times New Roman"/>
          <w:sz w:val="24"/>
          <w:szCs w:val="24"/>
        </w:rPr>
        <w:t>Helyeseljük azt is, hogy a tervezet ezen részének utolsó mondata úgy fogalmaz: „</w:t>
      </w:r>
      <w:r w:rsidR="00D64611" w:rsidRPr="00D64611">
        <w:rPr>
          <w:rFonts w:ascii="Times New Roman" w:hAnsi="Times New Roman" w:cs="Times New Roman"/>
          <w:sz w:val="24"/>
          <w:szCs w:val="24"/>
        </w:rPr>
        <w:t>Az Alkotmánybíróság következetesen osztja azt az</w:t>
      </w:r>
      <w:r w:rsidR="00D64611">
        <w:rPr>
          <w:rFonts w:ascii="Times New Roman" w:hAnsi="Times New Roman" w:cs="Times New Roman"/>
          <w:sz w:val="24"/>
          <w:szCs w:val="24"/>
        </w:rPr>
        <w:t xml:space="preserve"> </w:t>
      </w:r>
      <w:r w:rsidR="00D64611" w:rsidRPr="00D64611">
        <w:rPr>
          <w:rFonts w:ascii="Times New Roman" w:hAnsi="Times New Roman" w:cs="Times New Roman"/>
          <w:sz w:val="24"/>
          <w:szCs w:val="24"/>
        </w:rPr>
        <w:t>álláspontot, miszerint a médiaszolgáltatónak joga van meghatározni, hogy milyen</w:t>
      </w:r>
      <w:r w:rsidR="00D64611">
        <w:rPr>
          <w:rFonts w:ascii="Times New Roman" w:hAnsi="Times New Roman" w:cs="Times New Roman"/>
          <w:sz w:val="24"/>
          <w:szCs w:val="24"/>
        </w:rPr>
        <w:t xml:space="preserve"> </w:t>
      </w:r>
      <w:r w:rsidR="00D64611" w:rsidRPr="00D64611">
        <w:rPr>
          <w:rFonts w:ascii="Times New Roman" w:hAnsi="Times New Roman" w:cs="Times New Roman"/>
          <w:sz w:val="24"/>
          <w:szCs w:val="24"/>
        </w:rPr>
        <w:t>feltételek mentén használhatja a felhasználó felületé</w:t>
      </w:r>
      <w:r w:rsidR="00D64611">
        <w:rPr>
          <w:rFonts w:ascii="Times New Roman" w:hAnsi="Times New Roman" w:cs="Times New Roman"/>
          <w:sz w:val="24"/>
          <w:szCs w:val="24"/>
        </w:rPr>
        <w:t>t.”</w:t>
      </w:r>
    </w:p>
    <w:p w14:paraId="28BD6B2F" w14:textId="477BF78B" w:rsidR="005823DC" w:rsidRDefault="00A005B1" w:rsidP="00D64611">
      <w:pPr>
        <w:jc w:val="both"/>
        <w:rPr>
          <w:rFonts w:ascii="Times New Roman" w:hAnsi="Times New Roman" w:cs="Times New Roman"/>
          <w:sz w:val="24"/>
          <w:szCs w:val="24"/>
        </w:rPr>
      </w:pPr>
      <w:r>
        <w:rPr>
          <w:rFonts w:ascii="Times New Roman" w:hAnsi="Times New Roman" w:cs="Times New Roman"/>
          <w:sz w:val="24"/>
          <w:szCs w:val="24"/>
        </w:rPr>
        <w:t>A VIII. részben foglaltakat is osztjuk, mindazonáltal</w:t>
      </w:r>
      <w:r w:rsidR="000E6E19">
        <w:rPr>
          <w:rFonts w:ascii="Times New Roman" w:hAnsi="Times New Roman" w:cs="Times New Roman"/>
          <w:sz w:val="24"/>
          <w:szCs w:val="24"/>
        </w:rPr>
        <w:t xml:space="preserve"> ennek a résznek hiányossága, hogy amellett, hogy következetesen rámutat a közösségi médiaszolgáltatók hagyományostól eltérő működésére, </w:t>
      </w:r>
      <w:r w:rsidR="00211037">
        <w:rPr>
          <w:rFonts w:ascii="Times New Roman" w:hAnsi="Times New Roman" w:cs="Times New Roman"/>
          <w:sz w:val="24"/>
          <w:szCs w:val="24"/>
        </w:rPr>
        <w:t xml:space="preserve">majd kitér arra, hogy ennek a </w:t>
      </w:r>
      <w:r w:rsidR="00423458">
        <w:rPr>
          <w:rFonts w:ascii="Times New Roman" w:hAnsi="Times New Roman" w:cs="Times New Roman"/>
          <w:sz w:val="24"/>
          <w:szCs w:val="24"/>
        </w:rPr>
        <w:t>fajta működésnek és a közéletben betöltött hangsúlyos szerepük miatt fontos a felülvizsgálat lehetősége</w:t>
      </w:r>
      <w:r w:rsidR="00211037">
        <w:rPr>
          <w:rFonts w:ascii="Times New Roman" w:hAnsi="Times New Roman" w:cs="Times New Roman"/>
          <w:sz w:val="24"/>
          <w:szCs w:val="24"/>
        </w:rPr>
        <w:t xml:space="preserve"> </w:t>
      </w:r>
      <w:r w:rsidR="00423458">
        <w:rPr>
          <w:rFonts w:ascii="Times New Roman" w:hAnsi="Times New Roman" w:cs="Times New Roman"/>
          <w:sz w:val="24"/>
          <w:szCs w:val="24"/>
        </w:rPr>
        <w:t xml:space="preserve">döntéseiket illetően, </w:t>
      </w:r>
      <w:r w:rsidR="00EB63E6">
        <w:rPr>
          <w:rFonts w:ascii="Times New Roman" w:hAnsi="Times New Roman" w:cs="Times New Roman"/>
          <w:sz w:val="24"/>
          <w:szCs w:val="24"/>
        </w:rPr>
        <w:t xml:space="preserve">nem említi </w:t>
      </w:r>
      <w:r w:rsidR="00EB63E6">
        <w:rPr>
          <w:rFonts w:ascii="Times New Roman" w:hAnsi="Times New Roman" w:cs="Times New Roman"/>
          <w:sz w:val="24"/>
          <w:szCs w:val="24"/>
        </w:rPr>
        <w:lastRenderedPageBreak/>
        <w:t xml:space="preserve">meg, hogy ez a lehetőség jelenleg is biztosított, hiszen a szolgáltatók saját döntéseik ellen biztosítanak felülvizsgálati lehetőséget. A jelen esetben felmerült probléma központi konfliktusa is az, hogy az Indítványozó kérése ellenére </w:t>
      </w:r>
      <w:r w:rsidR="00854094">
        <w:rPr>
          <w:rFonts w:ascii="Times New Roman" w:hAnsi="Times New Roman" w:cs="Times New Roman"/>
          <w:sz w:val="24"/>
          <w:szCs w:val="24"/>
        </w:rPr>
        <w:t xml:space="preserve">a szolgáltató elmulasztotta felülvizsgálni a saját döntését, amellyel szerződésszegést követett el. A felülvizsgálat tehát </w:t>
      </w:r>
      <w:r w:rsidR="00107425">
        <w:rPr>
          <w:rFonts w:ascii="Times New Roman" w:hAnsi="Times New Roman" w:cs="Times New Roman"/>
          <w:sz w:val="24"/>
          <w:szCs w:val="24"/>
        </w:rPr>
        <w:t xml:space="preserve">belső szervezeti úton, illetve ennek elmulasztása vagy vitatott eredménye esetén polgári peres úton szerződésszegés miatt jelenleg is biztosított. </w:t>
      </w:r>
    </w:p>
    <w:p w14:paraId="5A6F88E5" w14:textId="03E38E8A" w:rsidR="00EA6126" w:rsidRDefault="00EA6126" w:rsidP="00D64611">
      <w:pPr>
        <w:jc w:val="both"/>
        <w:rPr>
          <w:rFonts w:ascii="Times New Roman" w:hAnsi="Times New Roman" w:cs="Times New Roman"/>
          <w:sz w:val="24"/>
          <w:szCs w:val="24"/>
        </w:rPr>
      </w:pPr>
    </w:p>
    <w:p w14:paraId="316B8CF4" w14:textId="540A3344" w:rsidR="00EA6126" w:rsidRPr="00EA6126" w:rsidRDefault="00EA6126" w:rsidP="00EA6126">
      <w:pPr>
        <w:jc w:val="both"/>
        <w:rPr>
          <w:rFonts w:ascii="Times New Roman" w:hAnsi="Times New Roman" w:cs="Times New Roman"/>
          <w:sz w:val="24"/>
          <w:szCs w:val="24"/>
        </w:rPr>
      </w:pPr>
      <w:r>
        <w:rPr>
          <w:rFonts w:ascii="Times New Roman" w:hAnsi="Times New Roman" w:cs="Times New Roman"/>
          <w:sz w:val="24"/>
          <w:szCs w:val="24"/>
        </w:rPr>
        <w:t xml:space="preserve">Az ELTE-ÁJK csapatának tagjai: </w:t>
      </w:r>
      <w:r w:rsidR="00932B2C" w:rsidRPr="00EA6126">
        <w:rPr>
          <w:rFonts w:ascii="Times New Roman" w:hAnsi="Times New Roman" w:cs="Times New Roman"/>
          <w:sz w:val="24"/>
          <w:szCs w:val="24"/>
        </w:rPr>
        <w:t>Fényes Marcell</w:t>
      </w:r>
      <w:r w:rsidR="00932B2C">
        <w:rPr>
          <w:rFonts w:ascii="Times New Roman" w:hAnsi="Times New Roman" w:cs="Times New Roman"/>
          <w:sz w:val="24"/>
          <w:szCs w:val="24"/>
        </w:rPr>
        <w:t xml:space="preserve">, </w:t>
      </w:r>
      <w:proofErr w:type="spellStart"/>
      <w:r w:rsidRPr="00EA6126">
        <w:rPr>
          <w:rFonts w:ascii="Times New Roman" w:hAnsi="Times New Roman" w:cs="Times New Roman"/>
          <w:sz w:val="24"/>
          <w:szCs w:val="24"/>
        </w:rPr>
        <w:t>Gilly</w:t>
      </w:r>
      <w:proofErr w:type="spellEnd"/>
      <w:r w:rsidRPr="00EA6126">
        <w:rPr>
          <w:rFonts w:ascii="Times New Roman" w:hAnsi="Times New Roman" w:cs="Times New Roman"/>
          <w:sz w:val="24"/>
          <w:szCs w:val="24"/>
        </w:rPr>
        <w:t xml:space="preserve"> Zsófia Bernadett, Kenyeresi Szabolcs, Vajda Luca Csenge</w:t>
      </w:r>
    </w:p>
    <w:p w14:paraId="4BDFF356" w14:textId="060B2F1B" w:rsidR="00EA6126" w:rsidRDefault="00EA6126" w:rsidP="00D64611">
      <w:pPr>
        <w:jc w:val="both"/>
        <w:rPr>
          <w:rFonts w:ascii="Times New Roman" w:hAnsi="Times New Roman" w:cs="Times New Roman"/>
          <w:sz w:val="24"/>
          <w:szCs w:val="24"/>
        </w:rPr>
      </w:pPr>
    </w:p>
    <w:p w14:paraId="5AA3F829" w14:textId="77777777" w:rsidR="00264668" w:rsidRPr="00264668" w:rsidRDefault="00264668" w:rsidP="00264668">
      <w:pPr>
        <w:jc w:val="both"/>
        <w:rPr>
          <w:rFonts w:ascii="Times New Roman" w:hAnsi="Times New Roman" w:cs="Times New Roman"/>
          <w:sz w:val="24"/>
          <w:szCs w:val="24"/>
        </w:rPr>
      </w:pPr>
    </w:p>
    <w:sectPr w:rsidR="00264668" w:rsidRPr="00264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C182B"/>
    <w:multiLevelType w:val="hybridMultilevel"/>
    <w:tmpl w:val="0B7846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E8"/>
    <w:rsid w:val="00026905"/>
    <w:rsid w:val="0005487E"/>
    <w:rsid w:val="000E3337"/>
    <w:rsid w:val="000E6E19"/>
    <w:rsid w:val="00105CF2"/>
    <w:rsid w:val="00107425"/>
    <w:rsid w:val="00155FB6"/>
    <w:rsid w:val="00184F9B"/>
    <w:rsid w:val="001A1FA1"/>
    <w:rsid w:val="00211037"/>
    <w:rsid w:val="00242C56"/>
    <w:rsid w:val="00264668"/>
    <w:rsid w:val="002D5CA4"/>
    <w:rsid w:val="00305F73"/>
    <w:rsid w:val="0035638E"/>
    <w:rsid w:val="00374586"/>
    <w:rsid w:val="00392FD1"/>
    <w:rsid w:val="003A2EE7"/>
    <w:rsid w:val="003E5761"/>
    <w:rsid w:val="00423458"/>
    <w:rsid w:val="004E48B5"/>
    <w:rsid w:val="00516CAB"/>
    <w:rsid w:val="00532630"/>
    <w:rsid w:val="00536511"/>
    <w:rsid w:val="005369EF"/>
    <w:rsid w:val="005639E2"/>
    <w:rsid w:val="0056534F"/>
    <w:rsid w:val="005720D1"/>
    <w:rsid w:val="005823DC"/>
    <w:rsid w:val="005A5D84"/>
    <w:rsid w:val="006545E2"/>
    <w:rsid w:val="006722B0"/>
    <w:rsid w:val="006A16B8"/>
    <w:rsid w:val="006A5422"/>
    <w:rsid w:val="0070650C"/>
    <w:rsid w:val="00734F0D"/>
    <w:rsid w:val="00767B99"/>
    <w:rsid w:val="007937C0"/>
    <w:rsid w:val="007A2181"/>
    <w:rsid w:val="007F0D71"/>
    <w:rsid w:val="0080568E"/>
    <w:rsid w:val="00854094"/>
    <w:rsid w:val="00891907"/>
    <w:rsid w:val="008B0B83"/>
    <w:rsid w:val="0090564B"/>
    <w:rsid w:val="00917131"/>
    <w:rsid w:val="00932803"/>
    <w:rsid w:val="00932B2C"/>
    <w:rsid w:val="009B2AF5"/>
    <w:rsid w:val="009B7C42"/>
    <w:rsid w:val="00A005B1"/>
    <w:rsid w:val="00A069AD"/>
    <w:rsid w:val="00A73D85"/>
    <w:rsid w:val="00A905B4"/>
    <w:rsid w:val="00AA27DA"/>
    <w:rsid w:val="00AA321C"/>
    <w:rsid w:val="00AA3876"/>
    <w:rsid w:val="00AC1143"/>
    <w:rsid w:val="00AC2CA9"/>
    <w:rsid w:val="00AC315F"/>
    <w:rsid w:val="00AF7A8B"/>
    <w:rsid w:val="00B22379"/>
    <w:rsid w:val="00B8132D"/>
    <w:rsid w:val="00BD26C1"/>
    <w:rsid w:val="00C21A2D"/>
    <w:rsid w:val="00C34096"/>
    <w:rsid w:val="00C63C72"/>
    <w:rsid w:val="00CA2AC0"/>
    <w:rsid w:val="00CD5C69"/>
    <w:rsid w:val="00D43888"/>
    <w:rsid w:val="00D627A8"/>
    <w:rsid w:val="00D64611"/>
    <w:rsid w:val="00DB2D78"/>
    <w:rsid w:val="00DB45C0"/>
    <w:rsid w:val="00DD286D"/>
    <w:rsid w:val="00DF186F"/>
    <w:rsid w:val="00DF3DC1"/>
    <w:rsid w:val="00E83C2F"/>
    <w:rsid w:val="00EA6126"/>
    <w:rsid w:val="00EB1E71"/>
    <w:rsid w:val="00EB63E6"/>
    <w:rsid w:val="00F055BD"/>
    <w:rsid w:val="00F23F5F"/>
    <w:rsid w:val="00F6443C"/>
    <w:rsid w:val="00F67EF0"/>
    <w:rsid w:val="00F75FD8"/>
    <w:rsid w:val="00F81BE8"/>
    <w:rsid w:val="00FC17A9"/>
    <w:rsid w:val="00FE4B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C8CE"/>
  <w15:chartTrackingRefBased/>
  <w15:docId w15:val="{67DE7FE3-B4D7-4D80-9485-EDA72066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339">
      <w:bodyDiv w:val="1"/>
      <w:marLeft w:val="0"/>
      <w:marRight w:val="0"/>
      <w:marTop w:val="0"/>
      <w:marBottom w:val="0"/>
      <w:divBdr>
        <w:top w:val="none" w:sz="0" w:space="0" w:color="auto"/>
        <w:left w:val="none" w:sz="0" w:space="0" w:color="auto"/>
        <w:bottom w:val="none" w:sz="0" w:space="0" w:color="auto"/>
        <w:right w:val="none" w:sz="0" w:space="0" w:color="auto"/>
      </w:divBdr>
    </w:div>
    <w:div w:id="1466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7D66FE1B4075B4DB1B6281ED9607D58" ma:contentTypeVersion="8" ma:contentTypeDescription="Új dokumentum létrehozása." ma:contentTypeScope="" ma:versionID="a5cde3383efeb9155441abf4651eaac4">
  <xsd:schema xmlns:xsd="http://www.w3.org/2001/XMLSchema" xmlns:xs="http://www.w3.org/2001/XMLSchema" xmlns:p="http://schemas.microsoft.com/office/2006/metadata/properties" xmlns:ns3="08136f5c-dd0c-42d6-a11c-b3a611e7ee34" xmlns:ns4="7ded6c18-2b15-43c0-99f6-b49d4b06390c" targetNamespace="http://schemas.microsoft.com/office/2006/metadata/properties" ma:root="true" ma:fieldsID="e9e21f6ba2c5cfad95c25ef4b06ebe70" ns3:_="" ns4:_="">
    <xsd:import namespace="08136f5c-dd0c-42d6-a11c-b3a611e7ee34"/>
    <xsd:import namespace="7ded6c18-2b15-43c0-99f6-b49d4b0639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36f5c-dd0c-42d6-a11c-b3a611e7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ed6c18-2b15-43c0-99f6-b49d4b06390c"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SharingHintHash" ma:index="14"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18A53-15E5-4905-9522-CE1A29D9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36f5c-dd0c-42d6-a11c-b3a611e7ee34"/>
    <ds:schemaRef ds:uri="7ded6c18-2b15-43c0-99f6-b49d4b06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A9DA7-4DA2-46E7-B0DC-D36655BD8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FEF67-2E4A-4C1C-8525-131EBD53F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1026</Words>
  <Characters>7080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 Fényes</dc:creator>
  <cp:keywords/>
  <dc:description/>
  <cp:lastModifiedBy>Szabolcs Kenyeresi</cp:lastModifiedBy>
  <cp:revision>59</cp:revision>
  <dcterms:created xsi:type="dcterms:W3CDTF">2021-10-08T20:54:00Z</dcterms:created>
  <dcterms:modified xsi:type="dcterms:W3CDTF">2021-10-15T20:07:00Z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0x01010087D66FE1B4075B4DB1B6281ED9607D58</vt:lpwstr>
  </property>
</Properties>
</file>